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01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spacing w:before="100" w:after="100" w:line="360" w:lineRule="auto"/>
              <w:jc w:val="center"/>
              <w:rPr>
                <w:rFonts w:ascii="InterFace Black" w:cs="InterFace Black" w:hAnsi="InterFace Black" w:eastAsia="InterFace Black"/>
                <w:sz w:val="28"/>
                <w:szCs w:val="28"/>
              </w:rPr>
            </w:pPr>
            <w:r>
              <w:rPr>
                <w:rStyle w:val="None"/>
                <w:rFonts w:ascii="InterFace Black" w:hAnsi="InterFace Black"/>
                <w:sz w:val="28"/>
                <w:szCs w:val="28"/>
                <w:rtl w:val="0"/>
                <w:lang w:val="en-US"/>
              </w:rPr>
              <w:t xml:space="preserve">Barnes Common </w:t>
            </w:r>
            <w:r>
              <w:rPr>
                <w:rStyle w:val="None"/>
                <w:rFonts w:ascii="InterFace Black" w:hAnsi="InterFace Black"/>
                <w:sz w:val="28"/>
                <w:szCs w:val="28"/>
                <w:rtl w:val="0"/>
                <w:lang w:val="en-US"/>
              </w:rPr>
              <w:t xml:space="preserve">Limited </w:t>
            </w:r>
            <w:r>
              <w:rPr>
                <w:rStyle w:val="None"/>
                <w:rFonts w:ascii="InterFace Black" w:hAnsi="InterFace Black"/>
                <w:sz w:val="28"/>
                <w:szCs w:val="28"/>
                <w:rtl w:val="0"/>
                <w:lang w:val="en-US"/>
              </w:rPr>
              <w:t>(BC</w:t>
            </w:r>
            <w:r>
              <w:rPr>
                <w:rStyle w:val="None"/>
                <w:rFonts w:ascii="InterFace Black" w:hAnsi="InterFace Black"/>
                <w:sz w:val="28"/>
                <w:szCs w:val="28"/>
                <w:rtl w:val="0"/>
                <w:lang w:val="en-US"/>
              </w:rPr>
              <w:t>L</w:t>
            </w:r>
            <w:r>
              <w:rPr>
                <w:rStyle w:val="None"/>
                <w:rFonts w:ascii="InterFace Black" w:hAnsi="InterFace Black"/>
                <w:sz w:val="28"/>
                <w:szCs w:val="28"/>
                <w:rtl w:val="0"/>
                <w:lang w:val="en-US"/>
              </w:rPr>
              <w:t>)</w:t>
            </w:r>
          </w:p>
          <w:p>
            <w:pPr>
              <w:pStyle w:val="Body"/>
              <w:bidi w:val="0"/>
              <w:spacing w:before="100" w:after="100" w:line="360" w:lineRule="auto"/>
              <w:ind w:left="0" w:right="0" w:firstLine="0"/>
              <w:jc w:val="center"/>
              <w:rPr>
                <w:rtl w:val="0"/>
              </w:rPr>
            </w:pPr>
            <w:r>
              <w:rPr>
                <w:rStyle w:val="None"/>
                <w:rFonts w:ascii="InterFace Black" w:hAnsi="InterFace Black"/>
                <w:sz w:val="28"/>
                <w:szCs w:val="28"/>
                <w:rtl w:val="0"/>
                <w:lang w:val="en-US"/>
              </w:rPr>
              <w:t>Code of Conduct for Volunteers</w:t>
            </w:r>
          </w:p>
        </w:tc>
      </w:tr>
    </w:tbl>
    <w:p>
      <w:pPr>
        <w:pStyle w:val="Body"/>
        <w:widowControl w:val="0"/>
        <w:spacing w:after="160" w:line="240" w:lineRule="auto"/>
        <w:rPr>
          <w:rFonts w:ascii="InterFace Thin" w:cs="InterFace Thin" w:hAnsi="InterFace Thin" w:eastAsia="InterFace Thin"/>
        </w:rPr>
      </w:pPr>
    </w:p>
    <w:p>
      <w:pPr>
        <w:pStyle w:val="Body"/>
        <w:spacing w:after="160" w:line="360" w:lineRule="auto"/>
        <w:rPr>
          <w:rFonts w:ascii="InterFace Thin" w:cs="InterFace Thin" w:hAnsi="InterFace Thin" w:eastAsia="InterFace Thin"/>
          <w:sz w:val="24"/>
          <w:szCs w:val="24"/>
        </w:rPr>
      </w:pPr>
    </w:p>
    <w:p>
      <w:pPr>
        <w:pStyle w:val="Body"/>
        <w:spacing w:after="160"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The purpose of the Code of Conduct for Volunteers is to set out standards of behaviour expected from volunteers of BC</w:t>
      </w:r>
      <w:r>
        <w:rPr>
          <w:rStyle w:val="None"/>
          <w:rFonts w:ascii="InterFace Thin" w:hAnsi="InterFace Thin"/>
          <w:sz w:val="24"/>
          <w:szCs w:val="24"/>
          <w:rtl w:val="0"/>
          <w:lang w:val="en-US"/>
        </w:rPr>
        <w:t>L</w:t>
      </w:r>
      <w:r>
        <w:rPr>
          <w:rStyle w:val="None"/>
          <w:rFonts w:ascii="InterFace Thin" w:hAnsi="InterFace Thin"/>
          <w:sz w:val="24"/>
          <w:szCs w:val="24"/>
          <w:rtl w:val="0"/>
          <w:lang w:val="en-US"/>
        </w:rPr>
        <w:t xml:space="preserve"> to ensure that:</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the charity is effective, open and accountable;</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volunteers have productive and supportive relationships with each other and employees and other persons who interact with the charity.</w:t>
      </w:r>
    </w:p>
    <w:p>
      <w:pPr>
        <w:pStyle w:val="Body"/>
        <w:spacing w:after="160"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All volunteers should ensure that they have read and comply with this Code of Conduct. </w:t>
      </w:r>
    </w:p>
    <w:p>
      <w:pPr>
        <w:pStyle w:val="Body"/>
        <w:spacing w:after="160" w:line="360" w:lineRule="auto"/>
        <w:rPr>
          <w:rStyle w:val="None"/>
          <w:rFonts w:ascii="InterFace Thin" w:cs="InterFace Thin" w:hAnsi="InterFace Thin" w:eastAsia="InterFace Thin"/>
          <w:sz w:val="24"/>
          <w:szCs w:val="24"/>
          <w:u w:val="single"/>
        </w:rPr>
      </w:pPr>
      <w:r>
        <w:rPr>
          <w:rStyle w:val="None"/>
          <w:rFonts w:ascii="InterFace Thin" w:hAnsi="InterFace Thin"/>
          <w:sz w:val="24"/>
          <w:szCs w:val="24"/>
          <w:rtl w:val="0"/>
          <w:lang w:val="en-US"/>
        </w:rPr>
        <w:t>Volunteers should maintain the highest standards of behaviour in the performance of their duties by:</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Performing their volunteer role to the best of their ability in a safe, efficient and competent way;</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Following the charity</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policies and procedures as well as any instructions or directions reasonably given to them;</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Acting in a way that is in line with the purpose and values of the charity and that enhances the work of the charity;</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Encouraging personal responsibility, acting honestly, responsibly and with integrity;</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Treating others with fairness, equality, dignity and respect and encouraging open communication;</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Reporting any health concerns prior, during and after completion of any tasks if not already notified;</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Raising concerns about possible wrongdoing witnessed by the volunteer in the course of the volunteer</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role with BC</w:t>
      </w:r>
      <w:r>
        <w:rPr>
          <w:rFonts w:ascii="InterFace Thin" w:hAnsi="InterFace Thin"/>
          <w:outline w:val="0"/>
          <w:color w:val="000000"/>
          <w:u w:color="000000"/>
          <w:rtl w:val="0"/>
          <w:lang w:val="en-US"/>
          <w14:textFill>
            <w14:solidFill>
              <w14:srgbClr w14:val="000000"/>
            </w14:solidFill>
          </w14:textFill>
        </w:rPr>
        <w:t>L</w:t>
      </w:r>
      <w:r>
        <w:rPr>
          <w:rFonts w:ascii="InterFace Thin" w:hAnsi="InterFace Thin" w:hint="default"/>
          <w:outline w:val="0"/>
          <w:color w:val="000000"/>
          <w:u w:color="000000"/>
          <w:rtl w:val="0"/>
          <w:lang w:val="en-US"/>
          <w14:textFill>
            <w14:solidFill>
              <w14:srgbClr w14:val="000000"/>
            </w14:solidFill>
          </w14:textFill>
        </w:rPr>
        <w:t xml:space="preserve"> – </w:t>
      </w:r>
      <w:r>
        <w:rPr>
          <w:rFonts w:ascii="InterFace Thin" w:hAnsi="InterFace Thin"/>
          <w:outline w:val="0"/>
          <w:color w:val="000000"/>
          <w:u w:color="000000"/>
          <w:rtl w:val="0"/>
          <w:lang w:val="en-US"/>
          <w14:textFill>
            <w14:solidFill>
              <w14:srgbClr w14:val="000000"/>
            </w14:solidFill>
          </w14:textFill>
        </w:rPr>
        <w:t>contact Myszka Guzkowska - Trustee;</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Arriving on time for any session in order  to take part in any housekeeping / H&amp;S briefing ;</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Observing safety procedures, including any obligations concerning the safety, health and welfare of other volunteers or staff.</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Addressing any issues or difficulties about any aspect of their role or how they are managed in line with BC</w:t>
      </w:r>
      <w:r>
        <w:rPr>
          <w:rFonts w:ascii="InterFace Thin" w:hAnsi="InterFace Thin"/>
          <w:outline w:val="0"/>
          <w:color w:val="000000"/>
          <w:u w:color="000000"/>
          <w:rtl w:val="0"/>
          <w:lang w:val="en-US"/>
          <w14:textFill>
            <w14:solidFill>
              <w14:srgbClr w14:val="000000"/>
            </w14:solidFill>
          </w14:textFill>
        </w:rPr>
        <w:t>L</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Grievance Policy;</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Declaring any interests that may conflict with their role or the work of the charity (e.g. business interests or employment). If any doubt arises as to what constitutes a conflict of interest, volunteers may seek guidance from Adrian Podmore - Trustee;</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Keeping confidential matters confidential;</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Exercising caution and care with any documents, material or devices, containing confidential information and at the end of their involvement with BCL returning any such documents, material in their possession;</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Seeking authorisation before communicating externally on behalf of  BCL;</w:t>
      </w:r>
    </w:p>
    <w:p>
      <w:pPr>
        <w:pStyle w:val="heading 4"/>
        <w:keepNext w:val="0"/>
        <w:keepLines w:val="0"/>
        <w:numPr>
          <w:ilvl w:val="0"/>
          <w:numId w:val="2"/>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Maintaining an appropriate standard of dress and personal hygiene and wearing suitable clothing for the task assigned;</w:t>
      </w:r>
    </w:p>
    <w:p>
      <w:pPr>
        <w:pStyle w:val="heading 4"/>
        <w:keepNext w:val="0"/>
        <w:keepLines w:val="0"/>
        <w:spacing w:before="0" w:after="160" w:line="360" w:lineRule="auto"/>
        <w:ind w:left="720" w:firstLine="0"/>
        <w:outlineLvl w:val="9"/>
        <w:rPr>
          <w:rFonts w:ascii="InterFace Thin" w:cs="InterFace Thin" w:hAnsi="InterFace Thin" w:eastAsia="InterFace Thin"/>
          <w:outline w:val="0"/>
          <w:color w:val="000000"/>
          <w:u w:color="000000"/>
          <w14:textFill>
            <w14:solidFill>
              <w14:srgbClr w14:val="000000"/>
            </w14:solidFill>
          </w14:textFill>
        </w:rPr>
      </w:pPr>
    </w:p>
    <w:p>
      <w:pPr>
        <w:pStyle w:val="Body"/>
        <w:spacing w:after="160" w:line="360" w:lineRule="auto"/>
        <w:rPr>
          <w:rStyle w:val="None"/>
          <w:rFonts w:ascii="InterFace Thin" w:cs="InterFace Thin" w:hAnsi="InterFace Thin" w:eastAsia="InterFace Thin"/>
          <w:sz w:val="24"/>
          <w:szCs w:val="24"/>
          <w:u w:val="single"/>
        </w:rPr>
      </w:pPr>
      <w:r>
        <w:rPr>
          <w:rStyle w:val="None"/>
          <w:rFonts w:ascii="InterFace Thin" w:hAnsi="InterFace Thin"/>
          <w:sz w:val="24"/>
          <w:szCs w:val="24"/>
          <w:u w:val="single"/>
          <w:rtl w:val="0"/>
          <w:lang w:val="en-US"/>
        </w:rPr>
        <w:t>Volunteers are expected NOT to:</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Bring the charity into disrepute (including through the use of email, social media and other internet sites, engaging with media etc.);</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Seek or accept any  gifts, rewards, benefits or hospitality in the course of their role;</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Engage in any activity that may cause physical or mental harm or distress to another person (such as verbal abuse, physical abuse, assault, direct criticism, bullying, or discrimination or harassment on the grounds of gender, civil status, family status, sexual orientation, religion, age, disability, or race);</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Be affected by alcohol, drugs, or medication which will affect their abilities to carry out their duties and responsibilities while volunteering;</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Provide a false or misleading statement, declaration, document, record or claim in respect of BCL, its volunteers, employees or charity trustees;</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Engage in any activity that may damage property;</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Take unauthorised possession of property that does not belong to them.</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Engage in illegal activity while carrying out their role.</w:t>
      </w:r>
    </w:p>
    <w:p>
      <w:pPr>
        <w:pStyle w:val="heading 4"/>
        <w:keepNext w:val="0"/>
        <w:keepLines w:val="0"/>
        <w:numPr>
          <w:ilvl w:val="0"/>
          <w:numId w:val="4"/>
        </w:numPr>
        <w:bidi w:val="0"/>
        <w:spacing w:before="0" w:after="160" w:line="360"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Improperly disclose, during or after their involvement with BCL ends, confidential information gained in the course of their role with BCL.</w:t>
      </w:r>
    </w:p>
    <w:p>
      <w:pPr>
        <w:pStyle w:val="Body"/>
        <w:spacing w:after="160" w:line="360" w:lineRule="auto"/>
        <w:rPr>
          <w:rFonts w:ascii="InterFace Thin" w:cs="InterFace Thin" w:hAnsi="InterFace Thin" w:eastAsia="InterFace Thin"/>
          <w:sz w:val="24"/>
          <w:szCs w:val="24"/>
        </w:rPr>
      </w:pPr>
    </w:p>
    <w:p>
      <w:pPr>
        <w:pStyle w:val="Body"/>
        <w:spacing w:after="160"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Where a volunteer is found to be in breach of the standards outlined in this Code of Conduct or any of BCL</w:t>
      </w:r>
      <w:r>
        <w:rPr>
          <w:rStyle w:val="None"/>
          <w:rFonts w:ascii="InterFace Thin" w:hAnsi="InterFace Thin" w:hint="default"/>
          <w:sz w:val="24"/>
          <w:szCs w:val="24"/>
          <w:rtl w:val="0"/>
          <w:lang w:val="en-US"/>
        </w:rPr>
        <w:t>’</w:t>
      </w:r>
      <w:r>
        <w:rPr>
          <w:rStyle w:val="None"/>
          <w:rFonts w:ascii="InterFace Thin" w:hAnsi="InterFace Thin"/>
          <w:sz w:val="24"/>
          <w:szCs w:val="24"/>
          <w:rtl w:val="0"/>
          <w:lang w:val="en-US"/>
        </w:rPr>
        <w:t>s other policies and procedures this may result in the volunteer</w:t>
      </w:r>
      <w:r>
        <w:rPr>
          <w:rStyle w:val="None"/>
          <w:rFonts w:ascii="InterFace Thin" w:hAnsi="InterFace Thin" w:hint="default"/>
          <w:sz w:val="24"/>
          <w:szCs w:val="24"/>
          <w:rtl w:val="0"/>
          <w:lang w:val="en-US"/>
        </w:rPr>
        <w:t>’</w:t>
      </w:r>
      <w:r>
        <w:rPr>
          <w:rStyle w:val="None"/>
          <w:rFonts w:ascii="InterFace Thin" w:hAnsi="InterFace Thin"/>
          <w:sz w:val="24"/>
          <w:szCs w:val="24"/>
          <w:rtl w:val="0"/>
          <w:lang w:val="en-US"/>
        </w:rPr>
        <w:t>s dismissal (please see BCL</w:t>
      </w:r>
      <w:r>
        <w:rPr>
          <w:rStyle w:val="None"/>
          <w:rFonts w:ascii="InterFace Thin" w:hAnsi="InterFace Thin" w:hint="default"/>
          <w:sz w:val="24"/>
          <w:szCs w:val="24"/>
          <w:rtl w:val="0"/>
          <w:lang w:val="en-US"/>
        </w:rPr>
        <w:t xml:space="preserve"> ‘</w:t>
      </w:r>
      <w:r>
        <w:rPr>
          <w:rStyle w:val="None"/>
          <w:rFonts w:ascii="InterFace Thin" w:hAnsi="InterFace Thin"/>
          <w:sz w:val="24"/>
          <w:szCs w:val="24"/>
          <w:rtl w:val="0"/>
          <w:lang w:val="en-US"/>
        </w:rPr>
        <w:t>s Volunteering Policy)</w:t>
      </w:r>
    </w:p>
    <w:p>
      <w:pPr>
        <w:pStyle w:val="Body"/>
        <w:spacing w:after="160"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Volunteers acknowledge that no employment relationship is created in the context of their role with BCL.  </w:t>
      </w:r>
    </w:p>
    <w:p>
      <w:pPr>
        <w:pStyle w:val="Body"/>
        <w:spacing w:after="160" w:line="360" w:lineRule="auto"/>
        <w:rPr>
          <w:rFonts w:ascii="InterFace Thin" w:cs="InterFace Thin" w:hAnsi="InterFace Thin" w:eastAsia="InterFace Thin"/>
          <w:sz w:val="24"/>
          <w:szCs w:val="24"/>
        </w:rPr>
      </w:pPr>
    </w:p>
    <w:p>
      <w:pPr>
        <w:pStyle w:val="Body"/>
        <w:spacing w:after="160" w:line="360" w:lineRule="auto"/>
        <w:rPr>
          <w:rStyle w:val="None"/>
          <w:rFonts w:ascii="InterFace Thin" w:cs="InterFace Thin" w:hAnsi="InterFace Thin" w:eastAsia="InterFace Thin"/>
          <w:sz w:val="24"/>
          <w:szCs w:val="24"/>
          <w:u w:val="single"/>
        </w:rPr>
      </w:pPr>
      <w:r>
        <w:rPr>
          <w:rStyle w:val="None"/>
          <w:rFonts w:ascii="InterFace Thin" w:hAnsi="InterFace Thin"/>
          <w:sz w:val="24"/>
          <w:szCs w:val="24"/>
          <w:u w:val="single"/>
          <w:rtl w:val="0"/>
          <w:lang w:val="en-US"/>
        </w:rPr>
        <w:t>Review</w:t>
      </w:r>
    </w:p>
    <w:p>
      <w:pPr>
        <w:pStyle w:val="Body"/>
        <w:spacing w:after="160"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The board of charity trustees will review the Code of Conduct for Volunteers at 3-year intervals or as appropriate.  </w:t>
      </w:r>
    </w:p>
    <w:p>
      <w:pPr>
        <w:pStyle w:val="Body"/>
        <w:spacing w:after="160" w:line="360" w:lineRule="auto"/>
        <w:rPr>
          <w:rFonts w:ascii="InterFace Thin" w:cs="InterFace Thin" w:hAnsi="InterFace Thin" w:eastAsia="InterFace Thin"/>
          <w:sz w:val="24"/>
          <w:szCs w:val="24"/>
        </w:rPr>
      </w:pPr>
    </w:p>
    <w:p>
      <w:pPr>
        <w:pStyle w:val="Body"/>
        <w:spacing w:after="160"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Last reviewed: February 2022</w:t>
      </w:r>
    </w:p>
    <w:p>
      <w:pPr>
        <w:pStyle w:val="Body"/>
        <w:widowControl w:val="0"/>
        <w:spacing w:line="360" w:lineRule="auto"/>
        <w:ind w:right="82"/>
        <w:jc w:val="both"/>
        <w:rPr>
          <w:rFonts w:ascii="InterFace Black" w:cs="InterFace Black" w:hAnsi="InterFace Black" w:eastAsia="InterFace Black"/>
          <w:sz w:val="20"/>
          <w:szCs w:val="20"/>
        </w:rPr>
      </w:pPr>
    </w:p>
    <w:p>
      <w:pPr>
        <w:pStyle w:val="Body"/>
        <w:widowControl w:val="0"/>
        <w:spacing w:line="360" w:lineRule="auto"/>
        <w:ind w:right="82"/>
        <w:jc w:val="both"/>
        <w:rPr>
          <w:rFonts w:ascii="InterFace Black" w:cs="InterFace Black" w:hAnsi="InterFace Black" w:eastAsia="InterFace Black"/>
          <w:sz w:val="20"/>
          <w:szCs w:val="20"/>
        </w:rPr>
      </w:pPr>
    </w:p>
    <w:p>
      <w:pPr>
        <w:pStyle w:val="Body"/>
        <w:widowControl w:val="0"/>
        <w:spacing w:line="360" w:lineRule="auto"/>
        <w:ind w:right="82"/>
        <w:jc w:val="both"/>
        <w:rPr>
          <w:rFonts w:ascii="InterFace Black" w:cs="InterFace Black" w:hAnsi="InterFace Black" w:eastAsia="InterFace Black"/>
          <w:sz w:val="20"/>
          <w:szCs w:val="20"/>
        </w:rPr>
      </w:pPr>
    </w:p>
    <w:p>
      <w:pPr>
        <w:pStyle w:val="Body"/>
        <w:widowControl w:val="0"/>
        <w:spacing w:line="360" w:lineRule="auto"/>
        <w:ind w:right="82"/>
        <w:jc w:val="both"/>
        <w:rPr>
          <w:rFonts w:ascii="InterFace Black" w:cs="InterFace Black" w:hAnsi="InterFace Black" w:eastAsia="InterFace Black"/>
          <w:sz w:val="20"/>
          <w:szCs w:val="20"/>
        </w:rPr>
      </w:pPr>
    </w:p>
    <w:p>
      <w:pPr>
        <w:pStyle w:val="Body"/>
        <w:widowControl w:val="0"/>
        <w:spacing w:line="360" w:lineRule="auto"/>
        <w:ind w:right="82"/>
        <w:jc w:val="both"/>
      </w:pPr>
      <w:r>
        <w:rPr>
          <w:rFonts w:ascii="InterFace Black" w:cs="InterFace Black" w:hAnsi="InterFace Black" w:eastAsia="InterFace Black"/>
          <w:sz w:val="20"/>
          <w:szCs w:val="20"/>
        </w:rPr>
      </w:r>
    </w:p>
    <w:sectPr>
      <w:headerReference w:type="default" r:id="rId4"/>
      <w:footerReference w:type="default" r:id="rId5"/>
      <w:pgSz w:w="11900" w:h="16840" w:orient="portrait"/>
      <w:pgMar w:top="873" w:right="873" w:bottom="873" w:left="87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InterFace Thin">
    <w:charset w:val="00"/>
    <w:family w:val="roman"/>
    <w:pitch w:val="default"/>
  </w:font>
  <w:font w:name="InterFace Black">
    <w:charset w:val="00"/>
    <w:family w:val="roman"/>
    <w:pitch w:val="default"/>
  </w:font>
  <w:font w:name="Cambri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InterFace Thin" w:cs="InterFace Thin" w:hAnsi="InterFace Thin" w:eastAsia="InterFace Thin"/>
        <w:sz w:val="18"/>
        <w:szCs w:val="18"/>
      </w:rPr>
    </w:pPr>
    <w:r>
      <w:rPr>
        <w:rFonts w:ascii="InterFace Thin" w:hAnsi="InterFace Thin"/>
        <w:sz w:val="18"/>
        <w:szCs w:val="18"/>
        <w:rtl w:val="0"/>
        <w:lang w:val="en-US"/>
      </w:rPr>
      <w:t>Barnes Common Limited</w:t>
    </w:r>
  </w:p>
  <w:p>
    <w:pPr>
      <w:pStyle w:val="Body"/>
      <w:rPr>
        <w:rFonts w:ascii="InterFace Thin" w:cs="InterFace Thin" w:hAnsi="InterFace Thin" w:eastAsia="InterFace Thin"/>
        <w:sz w:val="18"/>
        <w:szCs w:val="18"/>
      </w:rPr>
    </w:pPr>
    <w:r>
      <w:rPr>
        <w:rFonts w:ascii="InterFace Thin" w:hAnsi="InterFace Thin"/>
        <w:sz w:val="18"/>
        <w:szCs w:val="18"/>
        <w:rtl w:val="0"/>
        <w:lang w:val="en-US"/>
      </w:rPr>
      <w:t>Vine Road Pavilion, Vine Road Recreation Ground, Vine Road, Barnes SW13 0NE</w:t>
    </w:r>
  </w:p>
  <w:p>
    <w:pPr>
      <w:pStyle w:val="Body"/>
    </w:pPr>
    <w:r>
      <w:rPr>
        <w:rFonts w:ascii="InterFace Thin" w:hAnsi="InterFace Thin"/>
        <w:sz w:val="18"/>
        <w:szCs w:val="18"/>
        <w:rtl w:val="0"/>
        <w:lang w:val="it-IT"/>
      </w:rPr>
      <w:t xml:space="preserve">Tel 01444 412966 </w:t>
    </w:r>
    <w:r>
      <w:rPr>
        <w:rStyle w:val="Hyperlink.0"/>
        <w:rFonts w:ascii="InterFace Thin" w:cs="InterFace Thin" w:hAnsi="InterFace Thin" w:eastAsia="InterFace Thin"/>
        <w:sz w:val="18"/>
        <w:szCs w:val="18"/>
      </w:rPr>
      <w:fldChar w:fldCharType="begin" w:fldLock="0"/>
    </w:r>
    <w:r>
      <w:rPr>
        <w:rStyle w:val="Hyperlink.0"/>
        <w:rFonts w:ascii="InterFace Thin" w:cs="InterFace Thin" w:hAnsi="InterFace Thin" w:eastAsia="InterFace Thin"/>
        <w:sz w:val="18"/>
        <w:szCs w:val="18"/>
      </w:rPr>
      <w:instrText xml:space="preserve"> HYPERLINK "mailto:enquiries@barnescommon.org.uk"</w:instrText>
    </w:r>
    <w:r>
      <w:rPr>
        <w:rStyle w:val="Hyperlink.0"/>
        <w:rFonts w:ascii="InterFace Thin" w:cs="InterFace Thin" w:hAnsi="InterFace Thin" w:eastAsia="InterFace Thin"/>
        <w:sz w:val="18"/>
        <w:szCs w:val="18"/>
      </w:rPr>
      <w:fldChar w:fldCharType="separate" w:fldLock="0"/>
    </w:r>
    <w:r>
      <w:rPr>
        <w:rStyle w:val="Hyperlink.0"/>
        <w:rFonts w:ascii="InterFace Thin" w:hAnsi="InterFace Thin"/>
        <w:sz w:val="18"/>
        <w:szCs w:val="18"/>
        <w:rtl w:val="0"/>
        <w:lang w:val="it-IT"/>
      </w:rPr>
      <w:t>enquiries@barnescommon.org.uk</w:t>
    </w:r>
    <w:r>
      <w:rPr>
        <w:rFonts w:ascii="InterFace Thin" w:cs="InterFace Thin" w:hAnsi="InterFace Thin" w:eastAsia="InterFace Thi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rPr>
        <w:rFonts w:ascii="InterFace Thin" w:cs="InterFace Thin" w:hAnsi="InterFace Thin" w:eastAsia="InterFace Thin"/>
        <w:sz w:val="18"/>
        <w:szCs w:val="18"/>
      </w:rPr>
    </w:pPr>
    <w:r>
      <w:rPr>
        <w:rFonts w:ascii="InterFace Thin" w:cs="InterFace Thin" w:hAnsi="InterFace Thin" w:eastAsia="InterFace Thin"/>
        <w:sz w:val="18"/>
        <w:szCs w:val="18"/>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InterFace Thin" w:cs="InterFace Thin" w:hAnsi="InterFace Thin" w:eastAsia="InterFace Thin"/>
        <w:sz w:val="18"/>
        <w:szCs w:val="18"/>
      </w:rPr>
      <w:drawing xmlns:a="http://schemas.openxmlformats.org/drawingml/2006/main">
        <wp:anchor distT="152400" distB="152400" distL="152400" distR="152400" simplePos="0" relativeHeight="251659264" behindDoc="1" locked="0" layoutInCell="1" allowOverlap="1">
          <wp:simplePos x="0" y="0"/>
          <wp:positionH relativeFrom="page">
            <wp:posOffset>-49552</wp:posOffset>
          </wp:positionH>
          <wp:positionV relativeFrom="page">
            <wp:posOffset>-327856</wp:posOffset>
          </wp:positionV>
          <wp:extent cx="2083333" cy="1283112"/>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rcRect l="12488" t="17482" r="12488" b="17482"/>
                  <a:stretch>
                    <a:fillRect/>
                  </a:stretch>
                </pic:blipFill>
                <pic:spPr>
                  <a:xfrm>
                    <a:off x="0" y="0"/>
                    <a:ext cx="2083333" cy="1283112"/>
                  </a:xfrm>
                  <a:prstGeom prst="rect">
                    <a:avLst/>
                  </a:prstGeom>
                  <a:ln w="12700" cap="flat">
                    <a:noFill/>
                    <a:miter lim="400000"/>
                  </a:ln>
                  <a:effectLst/>
                </pic:spPr>
              </pic:pic>
            </a:graphicData>
          </a:graphic>
        </wp:anchor>
      </w:drawing>
    </w:r>
    <w:r>
      <w:rPr>
        <w:rFonts w:ascii="InterFace Thin" w:hAnsi="InterFace Thin"/>
        <w:sz w:val="18"/>
        <w:szCs w:val="18"/>
        <w:rtl w:val="0"/>
        <w:lang w:val="en-US"/>
      </w:rPr>
      <w:t>Barnes Common Limited</w:t>
    </w:r>
  </w:p>
  <w:p>
    <w:pPr>
      <w:pStyle w:val="Body"/>
      <w:ind w:left="1440" w:firstLine="0"/>
      <w:jc w:val="right"/>
      <w:rPr>
        <w:rFonts w:ascii="InterFace Thin" w:cs="InterFace Thin" w:hAnsi="InterFace Thin" w:eastAsia="InterFace Thin"/>
        <w:sz w:val="18"/>
        <w:szCs w:val="18"/>
      </w:rPr>
    </w:pPr>
    <w:r>
      <w:rPr>
        <w:rFonts w:ascii="InterFace Thin" w:hAnsi="InterFace Thin"/>
        <w:sz w:val="18"/>
        <w:szCs w:val="18"/>
        <w:rtl w:val="0"/>
        <w:lang w:val="it-IT"/>
      </w:rPr>
      <w:t>www.barnescommon.org.uk</w:t>
    </w:r>
  </w:p>
  <w:p>
    <w:pPr>
      <w:pStyle w:val="Body"/>
    </w:pPr>
    <w:r>
      <w:rPr>
        <w:rFonts w:ascii="InterFace Thin" w:cs="InterFace Thin" w:hAnsi="InterFace Thin" w:eastAsia="InterFace Thin"/>
        <w:sz w:val="18"/>
        <w:szCs w:val="1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Unicode MS" w:hAnsi="Arial" w:eastAsia="Arial Unicode MS"/>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