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244AD9" w:rsidP="00244AD9" w:rsidRDefault="00244AD9" w14:paraId="65469F84"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244AD9" w:rsidTr="6E1DF29C" w14:paraId="1A596809" w14:textId="77777777">
        <w:tc>
          <w:tcPr>
            <w:tcW w:w="10076" w:type="dxa"/>
            <w:gridSpan w:val="2"/>
            <w:tcMar/>
          </w:tcPr>
          <w:p w:rsidRPr="00A862A0" w:rsidR="00244AD9" w:rsidP="001C371C" w:rsidRDefault="00244AD9" w14:paraId="61627CC4"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6471F5">
              <w:rPr>
                <w:rFonts w:ascii="Calibri" w:hAnsi="Calibri" w:cs="Calibri"/>
                <w:b/>
                <w:bCs/>
                <w:sz w:val="32"/>
                <w:szCs w:val="32"/>
                <w:lang w:val="en-GB"/>
              </w:rPr>
              <w:t>BCL Remote Working Policy</w:t>
            </w:r>
          </w:p>
        </w:tc>
      </w:tr>
      <w:tr w:rsidRPr="00A862A0" w:rsidR="00244AD9" w:rsidTr="6E1DF29C" w14:paraId="08237B83" w14:textId="77777777">
        <w:tc>
          <w:tcPr>
            <w:tcW w:w="5038" w:type="dxa"/>
            <w:tcMar/>
          </w:tcPr>
          <w:p w:rsidRPr="00A862A0" w:rsidR="00244AD9" w:rsidP="001C371C" w:rsidRDefault="00244AD9" w14:paraId="72F8EC45"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Effective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r>
              <w:rPr>
                <w:rStyle w:val="None"/>
                <w:rFonts w:ascii="Calibri" w:hAnsi="Calibri" w:cs="Calibri"/>
                <w:sz w:val="24"/>
                <w:szCs w:val="24"/>
                <w:lang w:val="en-GB"/>
              </w:rPr>
              <w:t>01/1</w:t>
            </w:r>
            <w:r>
              <w:rPr>
                <w:rStyle w:val="None"/>
                <w:rFonts w:ascii="Calibri" w:hAnsi="Calibri" w:cs="Calibri"/>
                <w:sz w:val="24"/>
                <w:szCs w:val="24"/>
              </w:rPr>
              <w:t>2</w:t>
            </w:r>
            <w:r>
              <w:rPr>
                <w:rStyle w:val="None"/>
                <w:rFonts w:ascii="Calibri" w:hAnsi="Calibri" w:cs="Calibri"/>
                <w:sz w:val="24"/>
                <w:szCs w:val="24"/>
                <w:lang w:val="en-GB"/>
              </w:rPr>
              <w:t>/2021</w:t>
            </w:r>
          </w:p>
        </w:tc>
        <w:tc>
          <w:tcPr>
            <w:tcW w:w="5038" w:type="dxa"/>
            <w:tcMar/>
          </w:tcPr>
          <w:p w:rsidRPr="00A862A0" w:rsidR="00244AD9" w:rsidP="6E1DF29C" w:rsidRDefault="00244AD9" w14:paraId="528D0C73" w14:textId="43F41113">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6E1DF29C" w:rsidR="68E90732">
              <w:rPr>
                <w:rStyle w:val="None"/>
                <w:rFonts w:ascii="Calibri" w:hAnsi="Calibri" w:cs="Calibri"/>
                <w:sz w:val="24"/>
                <w:szCs w:val="24"/>
                <w:lang w:val="en-GB"/>
              </w:rPr>
              <w:t xml:space="preserve">Last updated </w:t>
            </w:r>
            <w:r w:rsidRPr="6E1DF29C" w:rsidR="68E90732">
              <w:rPr>
                <w:rStyle w:val="None"/>
                <w:rFonts w:ascii="Calibri" w:hAnsi="Calibri" w:cs="Calibri"/>
                <w:color w:val="808080" w:themeColor="background1" w:themeTint="FF" w:themeShade="80"/>
                <w:sz w:val="24"/>
                <w:szCs w:val="24"/>
                <w:lang w:val="en-GB"/>
              </w:rPr>
              <w:t>(dd/mm/</w:t>
            </w:r>
            <w:r w:rsidRPr="6E1DF29C" w:rsidR="68E90732">
              <w:rPr>
                <w:rStyle w:val="None"/>
                <w:rFonts w:ascii="Calibri" w:hAnsi="Calibri" w:cs="Calibri"/>
                <w:color w:val="808080" w:themeColor="background1" w:themeTint="FF" w:themeShade="80"/>
                <w:sz w:val="24"/>
                <w:szCs w:val="24"/>
                <w:lang w:val="en-GB"/>
              </w:rPr>
              <w:t>yyyy</w:t>
            </w:r>
            <w:r w:rsidRPr="6E1DF29C" w:rsidR="68E90732">
              <w:rPr>
                <w:rStyle w:val="None"/>
                <w:rFonts w:ascii="Calibri" w:hAnsi="Calibri" w:cs="Calibri"/>
                <w:color w:val="808080" w:themeColor="background1" w:themeTint="FF" w:themeShade="80"/>
                <w:sz w:val="24"/>
                <w:szCs w:val="24"/>
                <w:lang w:val="en-GB"/>
              </w:rPr>
              <w:t>)</w:t>
            </w:r>
            <w:r w:rsidRPr="6E1DF29C" w:rsidR="68E90732">
              <w:rPr>
                <w:rStyle w:val="None"/>
                <w:rFonts w:ascii="Calibri" w:hAnsi="Calibri" w:cs="Calibri"/>
                <w:sz w:val="24"/>
                <w:szCs w:val="24"/>
                <w:lang w:val="en-GB"/>
              </w:rPr>
              <w:t xml:space="preserve">: </w:t>
            </w:r>
            <w:r w:rsidRPr="6E1DF29C" w:rsidR="7ED33FEC">
              <w:rPr>
                <w:rStyle w:val="None"/>
                <w:rFonts w:ascii="Calibri" w:hAnsi="Calibri" w:cs="Calibri"/>
                <w:sz w:val="24"/>
                <w:szCs w:val="24"/>
                <w:lang w:val="en-GB"/>
              </w:rPr>
              <w:t>01/12/2021</w:t>
            </w:r>
          </w:p>
        </w:tc>
      </w:tr>
      <w:tr w:rsidRPr="00A862A0" w:rsidR="00244AD9" w:rsidTr="6E1DF29C" w14:paraId="1BBB0180" w14:textId="77777777">
        <w:tc>
          <w:tcPr>
            <w:tcW w:w="10076" w:type="dxa"/>
            <w:gridSpan w:val="2"/>
            <w:tcMar/>
          </w:tcPr>
          <w:p w:rsidRPr="00A862A0" w:rsidR="00244AD9" w:rsidP="001C371C" w:rsidRDefault="00244AD9" w14:paraId="5445FB00"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244AD9" w:rsidTr="6E1DF29C" w14:paraId="19BAAC01" w14:textId="77777777">
        <w:tc>
          <w:tcPr>
            <w:tcW w:w="5038" w:type="dxa"/>
            <w:tcMar/>
          </w:tcPr>
          <w:p w:rsidRPr="00A862A0" w:rsidR="00244AD9" w:rsidP="001C371C" w:rsidRDefault="00244AD9" w14:paraId="70353E73"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244AD9" w:rsidP="001C371C" w:rsidRDefault="00244AD9" w14:paraId="45A9AF66"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CF5017" w:rsidR="00141914" w:rsidP="00244AD9" w:rsidRDefault="00A15DD3" w14:paraId="0FBBC3B3" w14:textId="62A2D9E7">
      <w:pPr>
        <w:pStyle w:val="Body"/>
        <w:shd w:val="clear" w:color="auto" w:fill="FFFFFF"/>
        <w:spacing w:before="240" w:after="240"/>
        <w:rPr>
          <w:rStyle w:val="None"/>
          <w:rFonts w:eastAsia="Arial" w:cs="Arial" w:asciiTheme="minorHAnsi" w:hAnsiTheme="minorHAnsi"/>
          <w:b/>
          <w:bCs/>
          <w:color w:val="0B0C0C"/>
          <w:sz w:val="24"/>
          <w:szCs w:val="24"/>
          <w:u w:color="0B0C0C"/>
        </w:rPr>
      </w:pPr>
      <w:proofErr w:type="spellStart"/>
      <w:r w:rsidRPr="00CF5017">
        <w:rPr>
          <w:rStyle w:val="None"/>
          <w:rFonts w:asciiTheme="minorHAnsi" w:hAnsiTheme="minorHAnsi"/>
          <w:b/>
          <w:bCs/>
          <w:color w:val="0B0C0C"/>
          <w:sz w:val="24"/>
          <w:szCs w:val="24"/>
          <w:u w:color="0B0C0C"/>
          <w:lang w:val="nl-NL"/>
        </w:rPr>
        <w:t>Overview</w:t>
      </w:r>
      <w:proofErr w:type="spellEnd"/>
    </w:p>
    <w:p w:rsidRPr="00CF5017" w:rsidR="00141914" w:rsidP="00CF5017" w:rsidRDefault="00A15DD3" w14:paraId="0FBBC3B4"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 xml:space="preserve">Trustees are entitled to have their expenses met from the funds of the charity. The Charity Commission </w:t>
      </w:r>
      <w:proofErr w:type="spellStart"/>
      <w:r w:rsidRPr="00CF5017">
        <w:rPr>
          <w:rStyle w:val="None"/>
          <w:rFonts w:asciiTheme="minorHAnsi" w:hAnsiTheme="minorHAnsi"/>
          <w:color w:val="0B0C0C"/>
          <w:sz w:val="24"/>
          <w:szCs w:val="24"/>
          <w:u w:color="0B0C0C"/>
        </w:rPr>
        <w:t>emphasises</w:t>
      </w:r>
      <w:proofErr w:type="spellEnd"/>
      <w:r w:rsidRPr="00CF5017">
        <w:rPr>
          <w:rStyle w:val="None"/>
          <w:rFonts w:asciiTheme="minorHAnsi" w:hAnsiTheme="minorHAnsi"/>
          <w:color w:val="0B0C0C"/>
          <w:sz w:val="24"/>
          <w:szCs w:val="24"/>
          <w:u w:color="0B0C0C"/>
        </w:rPr>
        <w:t xml:space="preserve"> that trustees should not be ‘out-of-pocket’ </w:t>
      </w:r>
      <w:proofErr w:type="gramStart"/>
      <w:r w:rsidRPr="00CF5017">
        <w:rPr>
          <w:rStyle w:val="None"/>
          <w:rFonts w:asciiTheme="minorHAnsi" w:hAnsiTheme="minorHAnsi"/>
          <w:color w:val="0B0C0C"/>
          <w:sz w:val="24"/>
          <w:szCs w:val="24"/>
          <w:u w:color="0B0C0C"/>
        </w:rPr>
        <w:t>as a result of</w:t>
      </w:r>
      <w:proofErr w:type="gramEnd"/>
      <w:r w:rsidRPr="00CF5017">
        <w:rPr>
          <w:rStyle w:val="None"/>
          <w:rFonts w:asciiTheme="minorHAnsi" w:hAnsiTheme="minorHAnsi"/>
          <w:color w:val="0B0C0C"/>
          <w:sz w:val="24"/>
          <w:szCs w:val="24"/>
          <w:u w:color="0B0C0C"/>
        </w:rPr>
        <w:t xml:space="preserve"> the work they carry out on behalf of their charity</w:t>
      </w:r>
    </w:p>
    <w:p w:rsidRPr="00CF5017" w:rsidR="00141914" w:rsidP="00CF5017" w:rsidRDefault="00A15DD3" w14:paraId="0FBBC3B5"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 xml:space="preserve">Expenses can include a wide range of costs including, for example, travel and other costs of attending meetings, specific telephone and broadband charges, travelling on trustee business and providing childcare or care of other </w:t>
      </w:r>
      <w:proofErr w:type="spellStart"/>
      <w:r w:rsidRPr="00CF5017">
        <w:rPr>
          <w:rStyle w:val="None"/>
          <w:rFonts w:asciiTheme="minorHAnsi" w:hAnsiTheme="minorHAnsi"/>
          <w:color w:val="0B0C0C"/>
          <w:sz w:val="24"/>
          <w:szCs w:val="24"/>
          <w:u w:color="0B0C0C"/>
        </w:rPr>
        <w:t>dependants</w:t>
      </w:r>
      <w:proofErr w:type="spellEnd"/>
      <w:r w:rsidRPr="00CF5017">
        <w:rPr>
          <w:rStyle w:val="None"/>
          <w:rFonts w:asciiTheme="minorHAnsi" w:hAnsiTheme="minorHAnsi"/>
          <w:color w:val="0B0C0C"/>
          <w:sz w:val="24"/>
          <w:szCs w:val="24"/>
          <w:u w:color="0B0C0C"/>
        </w:rPr>
        <w:t xml:space="preserve"> while attending to trustee business.</w:t>
      </w:r>
    </w:p>
    <w:p w:rsidRPr="00244AD9" w:rsidR="00141914" w:rsidP="00244AD9" w:rsidRDefault="00A15DD3" w14:paraId="0FBBC3B7" w14:textId="77777777">
      <w:pPr>
        <w:pStyle w:val="Body"/>
        <w:shd w:val="clear" w:color="auto" w:fill="FFFFFF"/>
        <w:spacing w:before="240" w:after="240"/>
        <w:rPr>
          <w:rStyle w:val="None"/>
          <w:rFonts w:asciiTheme="minorHAnsi" w:hAnsiTheme="minorHAnsi"/>
          <w:b/>
          <w:bCs/>
          <w:color w:val="0B0C0C"/>
          <w:sz w:val="24"/>
          <w:szCs w:val="24"/>
          <w:u w:color="0B0C0C"/>
          <w:lang w:val="nl-NL"/>
        </w:rPr>
      </w:pPr>
      <w:r w:rsidRPr="00244AD9">
        <w:rPr>
          <w:rStyle w:val="None"/>
          <w:rFonts w:asciiTheme="minorHAnsi" w:hAnsiTheme="minorHAnsi"/>
          <w:b/>
          <w:bCs/>
          <w:color w:val="0B0C0C"/>
          <w:sz w:val="24"/>
          <w:szCs w:val="24"/>
          <w:u w:color="0B0C0C"/>
          <w:lang w:val="nl-NL"/>
        </w:rPr>
        <w:t>Expenses</w:t>
      </w:r>
    </w:p>
    <w:p w:rsidRPr="00CF5017" w:rsidR="00141914" w:rsidP="00CF5017" w:rsidRDefault="00A15DD3" w14:paraId="0FBBC3B8"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 xml:space="preserve">Expenses are refunds by a charity of legitimate payments which a trustee has had to meet personally </w:t>
      </w:r>
      <w:proofErr w:type="gramStart"/>
      <w:r w:rsidRPr="00CF5017">
        <w:rPr>
          <w:rStyle w:val="None"/>
          <w:rFonts w:asciiTheme="minorHAnsi" w:hAnsiTheme="minorHAnsi"/>
          <w:color w:val="0B0C0C"/>
          <w:sz w:val="24"/>
          <w:szCs w:val="24"/>
          <w:u w:color="0B0C0C"/>
        </w:rPr>
        <w:t xml:space="preserve">in </w:t>
      </w:r>
      <w:r w:rsidRPr="00CF5017">
        <w:rPr>
          <w:rStyle w:val="None"/>
          <w:rFonts w:asciiTheme="minorHAnsi" w:hAnsiTheme="minorHAnsi"/>
          <w:sz w:val="24"/>
          <w:szCs w:val="24"/>
        </w:rPr>
        <w:t>order to</w:t>
      </w:r>
      <w:proofErr w:type="gramEnd"/>
      <w:r w:rsidRPr="00CF5017">
        <w:rPr>
          <w:rStyle w:val="None"/>
          <w:rFonts w:asciiTheme="minorHAnsi" w:hAnsiTheme="minorHAnsi"/>
          <w:sz w:val="24"/>
          <w:szCs w:val="24"/>
        </w:rPr>
        <w:t xml:space="preserve"> carry out their trustee duties. Expense </w:t>
      </w:r>
      <w:r w:rsidRPr="00CF5017">
        <w:rPr>
          <w:rStyle w:val="None"/>
          <w:rFonts w:asciiTheme="minorHAnsi" w:hAnsiTheme="minorHAnsi"/>
          <w:color w:val="0B0C0C"/>
          <w:sz w:val="24"/>
          <w:szCs w:val="24"/>
          <w:u w:color="0B0C0C"/>
        </w:rPr>
        <w:t xml:space="preserve">claims should be supported by bills or receipts, except where it is impractical to expect this, for example, where very small amounts are claimed. </w:t>
      </w:r>
    </w:p>
    <w:p w:rsidRPr="00CF5017" w:rsidR="00141914" w:rsidP="00CF5017" w:rsidRDefault="00A15DD3" w14:paraId="0FBBC3B9"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A refund of properly incurred expenses is not a trustee payment, nor does it count as any kind of personal benefit.</w:t>
      </w:r>
    </w:p>
    <w:p w:rsidRPr="00CF5017" w:rsidR="00141914" w:rsidP="00CF5017" w:rsidRDefault="00A15DD3" w14:paraId="0FBBC3BA"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Examples of expenses:</w:t>
      </w:r>
    </w:p>
    <w:p w:rsidRPr="00CF5017" w:rsidR="00141914" w:rsidP="00244AD9" w:rsidRDefault="00A15DD3" w14:paraId="0FBBC3BB"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the reasonable cost of travelling to and from trustee meetings, and on trustee business and events; this can include the cost of using public transport, taxi fares, and petrol allowances to the level permitted by HM Revenue &amp; Customs (HMRC) before tax becomes payable.</w:t>
      </w:r>
    </w:p>
    <w:p w:rsidRPr="00CF5017" w:rsidR="00141914" w:rsidP="00244AD9" w:rsidRDefault="00A15DD3" w14:paraId="0FBBC3BC"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reasonable refunds for the cost of meals taken while on charity business.</w:t>
      </w:r>
    </w:p>
    <w:p w:rsidRPr="00CF5017" w:rsidR="00141914" w:rsidP="00244AD9" w:rsidRDefault="00A15DD3" w14:paraId="0FBBC3BD"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 xml:space="preserve">the reasonable cost of childcare, or care of other </w:t>
      </w:r>
      <w:proofErr w:type="spellStart"/>
      <w:r w:rsidRPr="00CF5017">
        <w:rPr>
          <w:rStyle w:val="None"/>
          <w:rFonts w:asciiTheme="minorHAnsi" w:hAnsiTheme="minorHAnsi"/>
          <w:color w:val="0B0C0C"/>
          <w:sz w:val="24"/>
          <w:szCs w:val="24"/>
          <w:u w:color="0B0C0C"/>
        </w:rPr>
        <w:t>dependants</w:t>
      </w:r>
      <w:proofErr w:type="spellEnd"/>
      <w:r w:rsidRPr="00CF5017">
        <w:rPr>
          <w:rStyle w:val="None"/>
          <w:rFonts w:asciiTheme="minorHAnsi" w:hAnsiTheme="minorHAnsi"/>
          <w:color w:val="0B0C0C"/>
          <w:sz w:val="24"/>
          <w:szCs w:val="24"/>
          <w:u w:color="0B0C0C"/>
        </w:rPr>
        <w:t xml:space="preserve"> (for example, an elderly parent) whilst attending trustee meetings.</w:t>
      </w:r>
    </w:p>
    <w:p w:rsidRPr="00CF5017" w:rsidR="00141914" w:rsidP="00244AD9" w:rsidRDefault="00A15DD3" w14:paraId="0FBBC3BE"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the cost of postage and telephone calls on charity business.</w:t>
      </w:r>
    </w:p>
    <w:p w:rsidRPr="00CF5017" w:rsidR="00141914" w:rsidP="00244AD9" w:rsidRDefault="00A15DD3" w14:paraId="0FBBC3BF"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the costs of a trustee’s telephone rental and broadband subscription, so long as these are split to reflect the percentage of time relating to usage on behalf of the charity.</w:t>
      </w:r>
    </w:p>
    <w:p w:rsidRPr="00CF5017" w:rsidR="00141914" w:rsidP="00244AD9" w:rsidRDefault="00A15DD3" w14:paraId="0FBBC3C0"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the costs of buying training materials and publications relevant to trusteeship.</w:t>
      </w:r>
    </w:p>
    <w:p w:rsidRPr="00CF5017" w:rsidR="00141914" w:rsidP="00244AD9" w:rsidRDefault="00A15DD3" w14:paraId="0FBBC3C1"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providing special transport, equipment or facilities for a trustee with a disability.</w:t>
      </w:r>
    </w:p>
    <w:p w:rsidRPr="00CF5017" w:rsidR="00141914" w:rsidP="00244AD9" w:rsidRDefault="00A15DD3" w14:paraId="0FBBC3C2" w14:textId="77777777">
      <w:pPr>
        <w:pStyle w:val="Body"/>
        <w:numPr>
          <w:ilvl w:val="0"/>
          <w:numId w:val="9"/>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 xml:space="preserve">cost of reasonable overnight accommodation and subsistence (including </w:t>
      </w:r>
      <w:proofErr w:type="gramStart"/>
      <w:r w:rsidRPr="00CF5017">
        <w:rPr>
          <w:rStyle w:val="None"/>
          <w:rFonts w:asciiTheme="minorHAnsi" w:hAnsiTheme="minorHAnsi"/>
          <w:color w:val="0B0C0C"/>
          <w:sz w:val="24"/>
          <w:szCs w:val="24"/>
          <w:u w:color="0B0C0C"/>
        </w:rPr>
        <w:t>any  essential</w:t>
      </w:r>
      <w:proofErr w:type="gramEnd"/>
      <w:r w:rsidRPr="00CF5017">
        <w:rPr>
          <w:rStyle w:val="None"/>
          <w:rFonts w:asciiTheme="minorHAnsi" w:hAnsiTheme="minorHAnsi"/>
          <w:color w:val="0B0C0C"/>
          <w:sz w:val="24"/>
          <w:szCs w:val="24"/>
          <w:u w:color="0B0C0C"/>
        </w:rPr>
        <w:t xml:space="preserve"> care costs) while attending trustee meetings or other essential events such as voluntary sector conferences or specialist training courses </w:t>
      </w:r>
    </w:p>
    <w:p w:rsidRPr="00244AD9" w:rsidR="00141914" w:rsidP="00244AD9" w:rsidRDefault="00A15DD3" w14:paraId="0FBBC3C4" w14:textId="77777777">
      <w:pPr>
        <w:pStyle w:val="Body"/>
        <w:shd w:val="clear" w:color="auto" w:fill="FFFFFF"/>
        <w:spacing w:before="240" w:after="240"/>
        <w:rPr>
          <w:rStyle w:val="None"/>
          <w:rFonts w:asciiTheme="minorHAnsi" w:hAnsiTheme="minorHAnsi"/>
          <w:b/>
          <w:bCs/>
          <w:color w:val="0B0C0C"/>
          <w:sz w:val="24"/>
          <w:szCs w:val="24"/>
          <w:u w:color="0B0C0C"/>
          <w:lang w:val="nl-NL"/>
        </w:rPr>
      </w:pPr>
      <w:r w:rsidRPr="00244AD9">
        <w:rPr>
          <w:rStyle w:val="None"/>
          <w:rFonts w:asciiTheme="minorHAnsi" w:hAnsiTheme="minorHAnsi"/>
          <w:b/>
          <w:bCs/>
          <w:color w:val="0B0C0C"/>
          <w:sz w:val="24"/>
          <w:szCs w:val="24"/>
          <w:u w:color="0B0C0C"/>
          <w:lang w:val="nl-NL"/>
        </w:rPr>
        <w:lastRenderedPageBreak/>
        <w:t>Advance payments</w:t>
      </w:r>
    </w:p>
    <w:p w:rsidRPr="00CF5017" w:rsidR="00141914" w:rsidP="00CF5017" w:rsidRDefault="00A15DD3" w14:paraId="0FBBC3C5"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 xml:space="preserve">Trustee boards can </w:t>
      </w:r>
      <w:proofErr w:type="gramStart"/>
      <w:r w:rsidRPr="00CF5017">
        <w:rPr>
          <w:rStyle w:val="None"/>
          <w:rFonts w:asciiTheme="minorHAnsi" w:hAnsiTheme="minorHAnsi"/>
          <w:color w:val="0B0C0C"/>
          <w:sz w:val="24"/>
          <w:szCs w:val="24"/>
          <w:u w:color="0B0C0C"/>
        </w:rPr>
        <w:t>make arrangements</w:t>
      </w:r>
      <w:proofErr w:type="gramEnd"/>
      <w:r w:rsidRPr="00CF5017">
        <w:rPr>
          <w:rStyle w:val="None"/>
          <w:rFonts w:asciiTheme="minorHAnsi" w:hAnsiTheme="minorHAnsi"/>
          <w:color w:val="0B0C0C"/>
          <w:sz w:val="24"/>
          <w:szCs w:val="24"/>
          <w:u w:color="0B0C0C"/>
        </w:rPr>
        <w:t xml:space="preserve"> for advance payment of reasonable out-of-pocket expenses. If the actual cost of expenses exceeds the amount advanced, then adjustments can be made, but trustee boards must be clear that any pre-payment scheme they put in place has appropriate safeguards and does not constitute a private benefit. </w:t>
      </w:r>
      <w:proofErr w:type="gramStart"/>
      <w:r w:rsidRPr="00CF5017">
        <w:rPr>
          <w:rStyle w:val="None"/>
          <w:rFonts w:asciiTheme="minorHAnsi" w:hAnsiTheme="minorHAnsi"/>
          <w:color w:val="0B0C0C"/>
          <w:sz w:val="24"/>
          <w:szCs w:val="24"/>
          <w:u w:color="0B0C0C"/>
        </w:rPr>
        <w:t>In particular, they</w:t>
      </w:r>
      <w:proofErr w:type="gramEnd"/>
      <w:r w:rsidRPr="00CF5017">
        <w:rPr>
          <w:rStyle w:val="None"/>
          <w:rFonts w:asciiTheme="minorHAnsi" w:hAnsiTheme="minorHAnsi"/>
          <w:color w:val="0B0C0C"/>
          <w:sz w:val="24"/>
          <w:szCs w:val="24"/>
          <w:u w:color="0B0C0C"/>
        </w:rPr>
        <w:t xml:space="preserve"> should ensure that any sums not spent are returned to the charity.</w:t>
      </w:r>
    </w:p>
    <w:p w:rsidRPr="00244AD9" w:rsidR="00141914" w:rsidP="00244AD9" w:rsidRDefault="00A15DD3" w14:paraId="0FBBC3C7" w14:textId="77777777">
      <w:pPr>
        <w:pStyle w:val="Body"/>
        <w:shd w:val="clear" w:color="auto" w:fill="FFFFFF"/>
        <w:spacing w:before="240" w:after="240"/>
        <w:rPr>
          <w:rStyle w:val="None"/>
          <w:rFonts w:asciiTheme="minorHAnsi" w:hAnsiTheme="minorHAnsi"/>
          <w:b/>
          <w:bCs/>
          <w:color w:val="0B0C0C"/>
          <w:sz w:val="24"/>
          <w:szCs w:val="24"/>
          <w:u w:color="0B0C0C"/>
          <w:lang w:val="nl-NL"/>
        </w:rPr>
      </w:pPr>
      <w:r w:rsidRPr="00244AD9">
        <w:rPr>
          <w:rStyle w:val="None"/>
          <w:rFonts w:asciiTheme="minorHAnsi" w:hAnsiTheme="minorHAnsi"/>
          <w:b/>
          <w:bCs/>
          <w:color w:val="0B0C0C"/>
          <w:sz w:val="24"/>
          <w:szCs w:val="24"/>
          <w:u w:color="0B0C0C"/>
          <w:lang w:val="nl-NL"/>
        </w:rPr>
        <w:t>Conflict of Interest</w:t>
      </w:r>
    </w:p>
    <w:p w:rsidRPr="00CF5017" w:rsidR="00141914" w:rsidP="00CF5017" w:rsidRDefault="00A15DD3" w14:paraId="0FBBC3C8"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Where conflicts of interest of arise please see BCL policy.</w:t>
      </w:r>
    </w:p>
    <w:p w:rsidRPr="0065759D" w:rsidR="00141914" w:rsidP="0065759D" w:rsidRDefault="00A15DD3" w14:paraId="0FBBC3CD" w14:textId="77777777">
      <w:pPr>
        <w:pStyle w:val="Body"/>
        <w:shd w:val="clear" w:color="auto" w:fill="FFFFFF"/>
        <w:spacing w:before="240" w:after="240"/>
        <w:rPr>
          <w:rStyle w:val="None"/>
          <w:rFonts w:asciiTheme="minorHAnsi" w:hAnsiTheme="minorHAnsi"/>
          <w:b/>
          <w:bCs/>
          <w:color w:val="0B0C0C"/>
          <w:sz w:val="24"/>
          <w:szCs w:val="24"/>
          <w:u w:color="0B0C0C"/>
          <w:lang w:val="nl-NL"/>
        </w:rPr>
      </w:pPr>
      <w:r w:rsidRPr="0065759D">
        <w:rPr>
          <w:rStyle w:val="None"/>
          <w:rFonts w:asciiTheme="minorHAnsi" w:hAnsiTheme="minorHAnsi"/>
          <w:b/>
          <w:bCs/>
          <w:color w:val="0B0C0C"/>
          <w:sz w:val="24"/>
          <w:szCs w:val="24"/>
          <w:u w:color="0B0C0C"/>
          <w:lang w:val="nl-NL"/>
        </w:rPr>
        <w:t>Non legitimate trustee expenses</w:t>
      </w:r>
    </w:p>
    <w:p w:rsidRPr="00CF5017" w:rsidR="00141914" w:rsidP="00CF5017" w:rsidRDefault="00A15DD3" w14:paraId="0FBBC3CE"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 xml:space="preserve">Expenses which are excessive, and/or which do not relate to legitimate trustee activities e.g. </w:t>
      </w:r>
    </w:p>
    <w:p w:rsidRPr="00CF5017" w:rsidR="00141914" w:rsidP="0065759D" w:rsidRDefault="00A15DD3" w14:paraId="0FBBC3CF" w14:textId="77777777">
      <w:pPr>
        <w:pStyle w:val="Body"/>
        <w:numPr>
          <w:ilvl w:val="0"/>
          <w:numId w:val="10"/>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payment of hotel accommodation or travel costs for spouses or partners who are not themselves travelling on charity business.</w:t>
      </w:r>
    </w:p>
    <w:p w:rsidRPr="00CF5017" w:rsidR="00141914" w:rsidP="0065759D" w:rsidRDefault="00A15DD3" w14:paraId="0FBBC3D0" w14:textId="77777777">
      <w:pPr>
        <w:pStyle w:val="Body"/>
        <w:numPr>
          <w:ilvl w:val="0"/>
          <w:numId w:val="10"/>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payment of private telephone bills for business unrelated to the charity.</w:t>
      </w:r>
    </w:p>
    <w:p w:rsidRPr="00CF5017" w:rsidR="00141914" w:rsidP="0065759D" w:rsidRDefault="00A15DD3" w14:paraId="0FBBC3D1" w14:textId="77777777">
      <w:pPr>
        <w:pStyle w:val="Body"/>
        <w:numPr>
          <w:ilvl w:val="0"/>
          <w:numId w:val="10"/>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payment of private medical insurance.</w:t>
      </w:r>
    </w:p>
    <w:p w:rsidRPr="00CF5017" w:rsidR="00141914" w:rsidP="0065759D" w:rsidRDefault="00A15DD3" w14:paraId="0FBBC3D2" w14:textId="77777777">
      <w:pPr>
        <w:pStyle w:val="Body"/>
        <w:numPr>
          <w:ilvl w:val="0"/>
          <w:numId w:val="10"/>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petrol mileage rates above the levels approved by HMRC for claimable expenses.</w:t>
      </w:r>
    </w:p>
    <w:p w:rsidRPr="00CF5017" w:rsidR="00141914" w:rsidP="00CF5017" w:rsidRDefault="00141914" w14:paraId="0FBBC3D3" w14:textId="77777777">
      <w:pPr>
        <w:pStyle w:val="Body"/>
        <w:shd w:val="clear" w:color="auto" w:fill="FFFFFF"/>
        <w:spacing w:after="120"/>
        <w:ind w:left="300"/>
        <w:rPr>
          <w:rStyle w:val="None"/>
          <w:rFonts w:asciiTheme="minorHAnsi" w:hAnsiTheme="minorHAnsi"/>
          <w:color w:val="0B0C0C"/>
          <w:sz w:val="24"/>
          <w:szCs w:val="24"/>
          <w:u w:color="0B0C0C"/>
        </w:rPr>
      </w:pPr>
    </w:p>
    <w:p w:rsidRPr="00CF5017" w:rsidR="00141914" w:rsidP="00CF5017" w:rsidRDefault="00A15DD3" w14:paraId="0FBBC3D4"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 xml:space="preserve">Examples of payments which are not expenses and which the Commission might need to </w:t>
      </w:r>
      <w:proofErr w:type="spellStart"/>
      <w:r w:rsidRPr="00CF5017">
        <w:rPr>
          <w:rStyle w:val="None"/>
          <w:rFonts w:asciiTheme="minorHAnsi" w:hAnsiTheme="minorHAnsi"/>
          <w:color w:val="0B0C0C"/>
          <w:sz w:val="24"/>
          <w:szCs w:val="24"/>
          <w:u w:color="0B0C0C"/>
        </w:rPr>
        <w:t>authorise</w:t>
      </w:r>
      <w:proofErr w:type="spellEnd"/>
      <w:r w:rsidRPr="00CF5017">
        <w:rPr>
          <w:rStyle w:val="None"/>
          <w:rFonts w:asciiTheme="minorHAnsi" w:hAnsiTheme="minorHAnsi"/>
          <w:color w:val="0B0C0C"/>
          <w:sz w:val="24"/>
          <w:szCs w:val="24"/>
          <w:u w:color="0B0C0C"/>
        </w:rPr>
        <w:t>:</w:t>
      </w:r>
    </w:p>
    <w:p w:rsidRPr="00CF5017" w:rsidR="00141914" w:rsidP="0065759D" w:rsidRDefault="00A15DD3" w14:paraId="0FBBC3D5" w14:textId="77777777">
      <w:pPr>
        <w:pStyle w:val="Body"/>
        <w:numPr>
          <w:ilvl w:val="0"/>
          <w:numId w:val="11"/>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compensation for loss of earnings whilst carrying out trustee business allowances: for example, a personal clothing allowance</w:t>
      </w:r>
    </w:p>
    <w:p w:rsidRPr="00CF5017" w:rsidR="00141914" w:rsidP="0065759D" w:rsidRDefault="00A15DD3" w14:paraId="0FBBC3D6" w14:textId="77777777">
      <w:pPr>
        <w:pStyle w:val="Body"/>
        <w:numPr>
          <w:ilvl w:val="0"/>
          <w:numId w:val="11"/>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 xml:space="preserve">honoraria (small or token sums not intended to reflect the true value of the service provided </w:t>
      </w:r>
    </w:p>
    <w:p w:rsidRPr="00CF5017" w:rsidR="00141914" w:rsidP="0065759D" w:rsidRDefault="00A15DD3" w14:paraId="0FBBC3D7" w14:textId="77777777">
      <w:pPr>
        <w:pStyle w:val="Body"/>
        <w:numPr>
          <w:ilvl w:val="0"/>
          <w:numId w:val="11"/>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payment for use of a trustee’s property (or part of it) for storage and use of charity equipment.</w:t>
      </w:r>
    </w:p>
    <w:p w:rsidRPr="0065759D" w:rsidR="00141914" w:rsidP="0065759D" w:rsidRDefault="00A15DD3" w14:paraId="0FBBC3D9" w14:textId="77777777">
      <w:pPr>
        <w:pStyle w:val="Body"/>
        <w:shd w:val="clear" w:color="auto" w:fill="FFFFFF"/>
        <w:spacing w:before="240" w:after="240"/>
        <w:rPr>
          <w:rStyle w:val="None"/>
          <w:rFonts w:asciiTheme="minorHAnsi" w:hAnsiTheme="minorHAnsi"/>
          <w:b/>
          <w:bCs/>
          <w:color w:val="0B0C0C"/>
          <w:sz w:val="24"/>
          <w:szCs w:val="24"/>
          <w:u w:color="0B0C0C"/>
          <w:lang w:val="nl-NL"/>
        </w:rPr>
      </w:pPr>
      <w:r w:rsidRPr="0065759D">
        <w:rPr>
          <w:rStyle w:val="None"/>
          <w:rFonts w:asciiTheme="minorHAnsi" w:hAnsiTheme="minorHAnsi"/>
          <w:b/>
          <w:bCs/>
          <w:color w:val="0B0C0C"/>
          <w:sz w:val="24"/>
          <w:szCs w:val="24"/>
          <w:u w:color="0B0C0C"/>
          <w:lang w:val="nl-NL"/>
        </w:rPr>
        <w:t>Payments which do not count as expenses</w:t>
      </w:r>
    </w:p>
    <w:p w:rsidRPr="00CF5017" w:rsidR="00141914" w:rsidP="00CF5017" w:rsidRDefault="00A15DD3" w14:paraId="0FBBC3DA" w14:textId="77777777">
      <w:pPr>
        <w:pStyle w:val="Body"/>
        <w:shd w:val="clear" w:color="auto" w:fill="FFFFFF"/>
        <w:spacing w:after="120"/>
        <w:rPr>
          <w:rStyle w:val="None"/>
          <w:rFonts w:eastAsia="Arial" w:cs="Arial" w:asciiTheme="minorHAnsi" w:hAnsiTheme="minorHAnsi"/>
          <w:sz w:val="24"/>
          <w:szCs w:val="24"/>
        </w:rPr>
      </w:pPr>
      <w:r w:rsidRPr="00CF5017">
        <w:rPr>
          <w:rStyle w:val="None"/>
          <w:rFonts w:asciiTheme="minorHAnsi" w:hAnsiTheme="minorHAnsi"/>
          <w:sz w:val="24"/>
          <w:szCs w:val="24"/>
        </w:rPr>
        <w:t>Reimbursement of trustees for purchases they have personally and properly made on behalf of the charity are not counted as expenses and are accounted for as part of the charity’s general expenditure.</w:t>
      </w:r>
    </w:p>
    <w:p w:rsidRPr="0065759D" w:rsidR="00141914" w:rsidP="0065759D" w:rsidRDefault="00A15DD3" w14:paraId="0FBBC3DB" w14:textId="77777777">
      <w:pPr>
        <w:pStyle w:val="Body"/>
        <w:shd w:val="clear" w:color="auto" w:fill="FFFFFF"/>
        <w:spacing w:before="240" w:after="240"/>
        <w:rPr>
          <w:rStyle w:val="None"/>
          <w:rFonts w:asciiTheme="minorHAnsi" w:hAnsiTheme="minorHAnsi"/>
          <w:b/>
          <w:bCs/>
          <w:color w:val="0B0C0C"/>
          <w:sz w:val="24"/>
          <w:szCs w:val="24"/>
          <w:u w:color="0B0C0C"/>
          <w:lang w:val="nl-NL"/>
        </w:rPr>
      </w:pPr>
      <w:r w:rsidRPr="0065759D">
        <w:rPr>
          <w:rStyle w:val="None"/>
          <w:rFonts w:asciiTheme="minorHAnsi" w:hAnsiTheme="minorHAnsi"/>
          <w:b/>
          <w:bCs/>
          <w:color w:val="0B0C0C"/>
          <w:sz w:val="24"/>
          <w:szCs w:val="24"/>
          <w:u w:color="0B0C0C"/>
          <w:lang w:val="nl-NL"/>
        </w:rPr>
        <w:t>Accounting for Expenses</w:t>
      </w:r>
    </w:p>
    <w:p w:rsidRPr="00CF5017" w:rsidR="00141914" w:rsidP="00CF5017" w:rsidRDefault="00A15DD3" w14:paraId="0FBBC3DC" w14:textId="77777777">
      <w:pPr>
        <w:pStyle w:val="Body"/>
        <w:shd w:val="clear" w:color="auto" w:fill="FFFFFF"/>
        <w:spacing w:after="120"/>
        <w:rPr>
          <w:rStyle w:val="None"/>
          <w:rFonts w:eastAsia="Arial" w:cs="Arial" w:asciiTheme="minorHAnsi" w:hAnsiTheme="minorHAnsi"/>
          <w:color w:val="0B0C0C"/>
          <w:sz w:val="24"/>
          <w:szCs w:val="24"/>
          <w:u w:color="0B0C0C"/>
        </w:rPr>
      </w:pPr>
      <w:r w:rsidRPr="00CF5017">
        <w:rPr>
          <w:rStyle w:val="None"/>
          <w:rFonts w:asciiTheme="minorHAnsi" w:hAnsiTheme="minorHAnsi"/>
          <w:color w:val="0B0C0C"/>
          <w:sz w:val="24"/>
          <w:szCs w:val="24"/>
          <w:u w:color="0B0C0C"/>
        </w:rPr>
        <w:t>As part of the SORP requirements, BCL fully discloses trustee expenses, reimbursement of purchases and any payments as notes to the annual accounts:</w:t>
      </w:r>
    </w:p>
    <w:p w:rsidRPr="00CF5017" w:rsidR="00141914" w:rsidP="0065759D" w:rsidRDefault="00A15DD3" w14:paraId="0FBBC3DD" w14:textId="77777777">
      <w:pPr>
        <w:pStyle w:val="Body"/>
        <w:numPr>
          <w:ilvl w:val="0"/>
          <w:numId w:val="12"/>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the total amount of trustee expenses</w:t>
      </w:r>
    </w:p>
    <w:p w:rsidRPr="00CF5017" w:rsidR="00141914" w:rsidP="0065759D" w:rsidRDefault="00A15DD3" w14:paraId="0FBBC3DE" w14:textId="77777777">
      <w:pPr>
        <w:pStyle w:val="Body"/>
        <w:numPr>
          <w:ilvl w:val="0"/>
          <w:numId w:val="12"/>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lastRenderedPageBreak/>
        <w:t>the nature of the various expenses</w:t>
      </w:r>
    </w:p>
    <w:p w:rsidRPr="0065759D" w:rsidR="00141914" w:rsidP="0065759D" w:rsidRDefault="00A15DD3" w14:paraId="0FBBC3E1" w14:textId="3BC1650D">
      <w:pPr>
        <w:pStyle w:val="Body"/>
        <w:numPr>
          <w:ilvl w:val="0"/>
          <w:numId w:val="12"/>
        </w:numPr>
        <w:shd w:val="clear" w:color="auto" w:fill="FFFFFF"/>
        <w:tabs>
          <w:tab w:val="left" w:pos="720"/>
        </w:tabs>
        <w:spacing w:after="120"/>
        <w:rPr>
          <w:rFonts w:asciiTheme="minorHAnsi" w:hAnsiTheme="minorHAnsi"/>
          <w:color w:val="0B0C0C"/>
          <w:sz w:val="24"/>
          <w:szCs w:val="24"/>
        </w:rPr>
      </w:pPr>
      <w:r w:rsidRPr="00CF5017">
        <w:rPr>
          <w:rStyle w:val="None"/>
          <w:rFonts w:asciiTheme="minorHAnsi" w:hAnsiTheme="minorHAnsi"/>
          <w:color w:val="0B0C0C"/>
          <w:sz w:val="24"/>
          <w:szCs w:val="24"/>
          <w:u w:color="0B0C0C"/>
        </w:rPr>
        <w:t>the number of trustees involved</w:t>
      </w:r>
    </w:p>
    <w:sectPr w:rsidRPr="0065759D" w:rsidR="00141914" w:rsidSect="00CF5017">
      <w:headerReference w:type="default" r:id="rId10"/>
      <w:footerReference w:type="even" r:id="rId11"/>
      <w:footerReference w:type="default" r:id="rId12"/>
      <w:pgSz w:w="11900" w:h="16840" w:orient="portrait"/>
      <w:pgMar w:top="907" w:right="907" w:bottom="907" w:left="90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8A2" w:rsidRDefault="00DB68A2" w14:paraId="35957FE9" w14:textId="77777777">
      <w:r>
        <w:separator/>
      </w:r>
    </w:p>
  </w:endnote>
  <w:endnote w:type="continuationSeparator" w:id="0">
    <w:p w:rsidR="00DB68A2" w:rsidRDefault="00DB68A2" w14:paraId="41319A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6466355"/>
      <w:docPartObj>
        <w:docPartGallery w:val="Page Numbers (Bottom of Page)"/>
        <w:docPartUnique/>
      </w:docPartObj>
    </w:sdtPr>
    <w:sdtContent>
      <w:p w:rsidR="00A15DD3" w:rsidP="005042BF" w:rsidRDefault="00A15DD3" w14:paraId="50ED182B" w14:textId="4D19A0E8">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615388" w:rsidRDefault="00615388" w14:paraId="5D5146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202294"/>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A15DD3" w:rsidR="00A15DD3" w:rsidP="005042BF" w:rsidRDefault="00A15DD3" w14:paraId="1943D5B0" w14:textId="42981F65">
        <w:pPr>
          <w:pStyle w:val="Footer"/>
          <w:framePr w:wrap="none" w:hAnchor="margin" w:vAnchor="text" w:xAlign="center" w:y="1"/>
          <w:rPr>
            <w:rStyle w:val="PageNumber"/>
            <w:rFonts w:asciiTheme="minorHAnsi" w:hAnsiTheme="minorHAnsi"/>
            <w:sz w:val="18"/>
            <w:szCs w:val="18"/>
          </w:rPr>
        </w:pPr>
        <w:r w:rsidRPr="00A15DD3">
          <w:rPr>
            <w:rStyle w:val="PageNumber"/>
            <w:rFonts w:asciiTheme="minorHAnsi" w:hAnsiTheme="minorHAnsi"/>
            <w:sz w:val="18"/>
            <w:szCs w:val="18"/>
          </w:rPr>
          <w:fldChar w:fldCharType="begin"/>
        </w:r>
        <w:r w:rsidRPr="00A15DD3">
          <w:rPr>
            <w:rStyle w:val="PageNumber"/>
            <w:rFonts w:asciiTheme="minorHAnsi" w:hAnsiTheme="minorHAnsi"/>
            <w:sz w:val="18"/>
            <w:szCs w:val="18"/>
          </w:rPr>
          <w:instrText xml:space="preserve"> PAGE </w:instrText>
        </w:r>
        <w:r w:rsidRPr="00A15DD3">
          <w:rPr>
            <w:rStyle w:val="PageNumber"/>
            <w:rFonts w:asciiTheme="minorHAnsi" w:hAnsiTheme="minorHAnsi"/>
            <w:sz w:val="18"/>
            <w:szCs w:val="18"/>
          </w:rPr>
          <w:fldChar w:fldCharType="separate"/>
        </w:r>
        <w:r w:rsidRPr="00A15DD3">
          <w:rPr>
            <w:rStyle w:val="PageNumber"/>
            <w:rFonts w:asciiTheme="minorHAnsi" w:hAnsiTheme="minorHAnsi"/>
            <w:noProof/>
            <w:sz w:val="18"/>
            <w:szCs w:val="18"/>
          </w:rPr>
          <w:t>1</w:t>
        </w:r>
        <w:r w:rsidRPr="00A15DD3">
          <w:rPr>
            <w:rStyle w:val="PageNumber"/>
            <w:rFonts w:asciiTheme="minorHAnsi" w:hAnsiTheme="minorHAnsi"/>
            <w:sz w:val="18"/>
            <w:szCs w:val="18"/>
          </w:rPr>
          <w:fldChar w:fldCharType="end"/>
        </w:r>
      </w:p>
    </w:sdtContent>
  </w:sdt>
  <w:p w:rsidR="00141914" w:rsidRDefault="00141914" w14:paraId="0FBBC3E6" w14:textId="181226BA">
    <w:pPr>
      <w:pStyle w:val="Bod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8A2" w:rsidRDefault="00DB68A2" w14:paraId="793D8966" w14:textId="77777777">
      <w:r>
        <w:separator/>
      </w:r>
    </w:p>
  </w:footnote>
  <w:footnote w:type="continuationSeparator" w:id="0">
    <w:p w:rsidR="00DB68A2" w:rsidRDefault="00DB68A2" w14:paraId="7C63FA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A15DD3" w:rsidP="00A15DD3" w:rsidRDefault="00A15DD3" w14:paraId="2EEB5D6C"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44C1B954" wp14:editId="56EF91DF">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A15DD3" w:rsidP="00A15DD3" w:rsidRDefault="00A15DD3" w14:paraId="166BD646"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A15DD3" w:rsidP="00A15DD3" w:rsidRDefault="00A15DD3" w14:paraId="4207ED55"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3FBC075B" wp14:editId="2B7304C1">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5871F2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A15DD3" w:rsidP="00A15DD3" w:rsidRDefault="00A15DD3" w14:paraId="4528AEAB" w14:textId="77777777">
    <w:pPr>
      <w:pStyle w:val="Header"/>
      <w:jc w:val="right"/>
      <w:rPr>
        <w:rFonts w:ascii="Calibri" w:hAnsi="Calibri" w:cs="Calibr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4CB5"/>
    <w:multiLevelType w:val="hybridMultilevel"/>
    <w:tmpl w:val="6B74C07C"/>
    <w:numStyleLink w:val="ImportedStyle4"/>
  </w:abstractNum>
  <w:abstractNum w:abstractNumId="1" w15:restartNumberingAfterBreak="0">
    <w:nsid w:val="0ECC4EC5"/>
    <w:multiLevelType w:val="hybridMultilevel"/>
    <w:tmpl w:val="BA10A63E"/>
    <w:numStyleLink w:val="ImportedStyle3"/>
  </w:abstractNum>
  <w:abstractNum w:abstractNumId="2" w15:restartNumberingAfterBreak="0">
    <w:nsid w:val="133C0EEC"/>
    <w:multiLevelType w:val="hybridMultilevel"/>
    <w:tmpl w:val="4D1A654C"/>
    <w:lvl w:ilvl="0" w:tplc="F12EFCA2">
      <w:start w:val="1"/>
      <w:numFmt w:val="bullet"/>
      <w:lvlText w:val=""/>
      <w:lvlJc w:val="left"/>
      <w:pPr>
        <w:ind w:left="607" w:hanging="247"/>
      </w:pPr>
      <w:rPr>
        <w:rFonts w:hint="default" w:ascii="Symbol" w:hAnsi="Symbol"/>
      </w:rPr>
    </w:lvl>
    <w:lvl w:ilvl="1" w:tplc="08090003" w:tentative="1">
      <w:start w:val="1"/>
      <w:numFmt w:val="bullet"/>
      <w:lvlText w:val="o"/>
      <w:lvlJc w:val="left"/>
      <w:pPr>
        <w:ind w:left="1687" w:hanging="360"/>
      </w:pPr>
      <w:rPr>
        <w:rFonts w:hint="default" w:ascii="Courier New" w:hAnsi="Courier New" w:cs="Courier New"/>
      </w:rPr>
    </w:lvl>
    <w:lvl w:ilvl="2" w:tplc="08090005" w:tentative="1">
      <w:start w:val="1"/>
      <w:numFmt w:val="bullet"/>
      <w:lvlText w:val=""/>
      <w:lvlJc w:val="left"/>
      <w:pPr>
        <w:ind w:left="2407" w:hanging="360"/>
      </w:pPr>
      <w:rPr>
        <w:rFonts w:hint="default" w:ascii="Wingdings" w:hAnsi="Wingdings"/>
      </w:rPr>
    </w:lvl>
    <w:lvl w:ilvl="3" w:tplc="08090001" w:tentative="1">
      <w:start w:val="1"/>
      <w:numFmt w:val="bullet"/>
      <w:lvlText w:val=""/>
      <w:lvlJc w:val="left"/>
      <w:pPr>
        <w:ind w:left="3127" w:hanging="360"/>
      </w:pPr>
      <w:rPr>
        <w:rFonts w:hint="default" w:ascii="Symbol" w:hAnsi="Symbol"/>
      </w:rPr>
    </w:lvl>
    <w:lvl w:ilvl="4" w:tplc="08090003" w:tentative="1">
      <w:start w:val="1"/>
      <w:numFmt w:val="bullet"/>
      <w:lvlText w:val="o"/>
      <w:lvlJc w:val="left"/>
      <w:pPr>
        <w:ind w:left="3847" w:hanging="360"/>
      </w:pPr>
      <w:rPr>
        <w:rFonts w:hint="default" w:ascii="Courier New" w:hAnsi="Courier New" w:cs="Courier New"/>
      </w:rPr>
    </w:lvl>
    <w:lvl w:ilvl="5" w:tplc="08090005" w:tentative="1">
      <w:start w:val="1"/>
      <w:numFmt w:val="bullet"/>
      <w:lvlText w:val=""/>
      <w:lvlJc w:val="left"/>
      <w:pPr>
        <w:ind w:left="4567" w:hanging="360"/>
      </w:pPr>
      <w:rPr>
        <w:rFonts w:hint="default" w:ascii="Wingdings" w:hAnsi="Wingdings"/>
      </w:rPr>
    </w:lvl>
    <w:lvl w:ilvl="6" w:tplc="08090001" w:tentative="1">
      <w:start w:val="1"/>
      <w:numFmt w:val="bullet"/>
      <w:lvlText w:val=""/>
      <w:lvlJc w:val="left"/>
      <w:pPr>
        <w:ind w:left="5287" w:hanging="360"/>
      </w:pPr>
      <w:rPr>
        <w:rFonts w:hint="default" w:ascii="Symbol" w:hAnsi="Symbol"/>
      </w:rPr>
    </w:lvl>
    <w:lvl w:ilvl="7" w:tplc="08090003" w:tentative="1">
      <w:start w:val="1"/>
      <w:numFmt w:val="bullet"/>
      <w:lvlText w:val="o"/>
      <w:lvlJc w:val="left"/>
      <w:pPr>
        <w:ind w:left="6007" w:hanging="360"/>
      </w:pPr>
      <w:rPr>
        <w:rFonts w:hint="default" w:ascii="Courier New" w:hAnsi="Courier New" w:cs="Courier New"/>
      </w:rPr>
    </w:lvl>
    <w:lvl w:ilvl="8" w:tplc="08090005" w:tentative="1">
      <w:start w:val="1"/>
      <w:numFmt w:val="bullet"/>
      <w:lvlText w:val=""/>
      <w:lvlJc w:val="left"/>
      <w:pPr>
        <w:ind w:left="6727" w:hanging="360"/>
      </w:pPr>
      <w:rPr>
        <w:rFonts w:hint="default" w:ascii="Wingdings" w:hAnsi="Wingdings"/>
      </w:rPr>
    </w:lvl>
  </w:abstractNum>
  <w:abstractNum w:abstractNumId="3" w15:restartNumberingAfterBreak="0">
    <w:nsid w:val="135F488C"/>
    <w:multiLevelType w:val="hybridMultilevel"/>
    <w:tmpl w:val="BA10A63E"/>
    <w:styleLink w:val="ImportedStyle3"/>
    <w:lvl w:ilvl="0" w:tplc="43B61C06">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A1E29F6">
      <w:start w:val="1"/>
      <w:numFmt w:val="bullet"/>
      <w:lvlText w:val="·"/>
      <w:lvlJc w:val="left"/>
      <w:pPr>
        <w:tabs>
          <w:tab w:val="left" w:pos="720"/>
        </w:tabs>
        <w:ind w:left="10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E34CFDA">
      <w:start w:val="1"/>
      <w:numFmt w:val="bullet"/>
      <w:lvlText w:val="·"/>
      <w:lvlJc w:val="left"/>
      <w:pPr>
        <w:tabs>
          <w:tab w:val="left" w:pos="720"/>
        </w:tabs>
        <w:ind w:left="17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28E03E">
      <w:start w:val="1"/>
      <w:numFmt w:val="bullet"/>
      <w:lvlText w:val="·"/>
      <w:lvlJc w:val="left"/>
      <w:pPr>
        <w:tabs>
          <w:tab w:val="left" w:pos="720"/>
        </w:tabs>
        <w:ind w:left="24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04E81AE">
      <w:start w:val="1"/>
      <w:numFmt w:val="bullet"/>
      <w:lvlText w:val="·"/>
      <w:lvlJc w:val="left"/>
      <w:pPr>
        <w:tabs>
          <w:tab w:val="left" w:pos="720"/>
        </w:tabs>
        <w:ind w:left="31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9C2EE9A">
      <w:start w:val="1"/>
      <w:numFmt w:val="bullet"/>
      <w:lvlText w:val="·"/>
      <w:lvlJc w:val="left"/>
      <w:pPr>
        <w:tabs>
          <w:tab w:val="left" w:pos="720"/>
        </w:tabs>
        <w:ind w:left="39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EDE81EA">
      <w:start w:val="1"/>
      <w:numFmt w:val="bullet"/>
      <w:lvlText w:val="·"/>
      <w:lvlJc w:val="left"/>
      <w:pPr>
        <w:tabs>
          <w:tab w:val="left" w:pos="720"/>
        </w:tabs>
        <w:ind w:left="46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AA45B64">
      <w:start w:val="1"/>
      <w:numFmt w:val="bullet"/>
      <w:lvlText w:val="·"/>
      <w:lvlJc w:val="left"/>
      <w:pPr>
        <w:tabs>
          <w:tab w:val="left" w:pos="720"/>
        </w:tabs>
        <w:ind w:left="53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BE8F930">
      <w:start w:val="1"/>
      <w:numFmt w:val="bullet"/>
      <w:lvlText w:val="·"/>
      <w:lvlJc w:val="left"/>
      <w:pPr>
        <w:tabs>
          <w:tab w:val="left" w:pos="720"/>
        </w:tabs>
        <w:ind w:left="60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314E3B86"/>
    <w:multiLevelType w:val="hybridMultilevel"/>
    <w:tmpl w:val="A0DE119C"/>
    <w:numStyleLink w:val="ImportedStyle1"/>
  </w:abstractNum>
  <w:abstractNum w:abstractNumId="5" w15:restartNumberingAfterBreak="0">
    <w:nsid w:val="3D3D0B41"/>
    <w:multiLevelType w:val="hybridMultilevel"/>
    <w:tmpl w:val="3D0EB71C"/>
    <w:numStyleLink w:val="ImportedStyle2"/>
  </w:abstractNum>
  <w:abstractNum w:abstractNumId="6" w15:restartNumberingAfterBreak="0">
    <w:nsid w:val="4DAC7874"/>
    <w:multiLevelType w:val="hybridMultilevel"/>
    <w:tmpl w:val="A0DE119C"/>
    <w:styleLink w:val="ImportedStyle1"/>
    <w:lvl w:ilvl="0" w:tplc="CCF211D0">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F54ADE8">
      <w:start w:val="1"/>
      <w:numFmt w:val="bullet"/>
      <w:lvlText w:val="·"/>
      <w:lvlJc w:val="left"/>
      <w:pPr>
        <w:tabs>
          <w:tab w:val="left" w:pos="720"/>
        </w:tabs>
        <w:ind w:left="10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07AE082">
      <w:start w:val="1"/>
      <w:numFmt w:val="bullet"/>
      <w:lvlText w:val="·"/>
      <w:lvlJc w:val="left"/>
      <w:pPr>
        <w:tabs>
          <w:tab w:val="left" w:pos="720"/>
        </w:tabs>
        <w:ind w:left="17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1A026CE">
      <w:start w:val="1"/>
      <w:numFmt w:val="bullet"/>
      <w:lvlText w:val="·"/>
      <w:lvlJc w:val="left"/>
      <w:pPr>
        <w:tabs>
          <w:tab w:val="left" w:pos="720"/>
        </w:tabs>
        <w:ind w:left="24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288066E">
      <w:start w:val="1"/>
      <w:numFmt w:val="bullet"/>
      <w:lvlText w:val="·"/>
      <w:lvlJc w:val="left"/>
      <w:pPr>
        <w:tabs>
          <w:tab w:val="left" w:pos="720"/>
        </w:tabs>
        <w:ind w:left="31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960EEA2">
      <w:start w:val="1"/>
      <w:numFmt w:val="bullet"/>
      <w:lvlText w:val="·"/>
      <w:lvlJc w:val="left"/>
      <w:pPr>
        <w:tabs>
          <w:tab w:val="left" w:pos="720"/>
        </w:tabs>
        <w:ind w:left="39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9C686AA">
      <w:start w:val="1"/>
      <w:numFmt w:val="bullet"/>
      <w:lvlText w:val="·"/>
      <w:lvlJc w:val="left"/>
      <w:pPr>
        <w:tabs>
          <w:tab w:val="left" w:pos="720"/>
        </w:tabs>
        <w:ind w:left="46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BB27818">
      <w:start w:val="1"/>
      <w:numFmt w:val="bullet"/>
      <w:lvlText w:val="·"/>
      <w:lvlJc w:val="left"/>
      <w:pPr>
        <w:tabs>
          <w:tab w:val="left" w:pos="720"/>
        </w:tabs>
        <w:ind w:left="53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E6383C">
      <w:start w:val="1"/>
      <w:numFmt w:val="bullet"/>
      <w:lvlText w:val="·"/>
      <w:lvlJc w:val="left"/>
      <w:pPr>
        <w:tabs>
          <w:tab w:val="left" w:pos="720"/>
        </w:tabs>
        <w:ind w:left="60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5F214E03"/>
    <w:multiLevelType w:val="hybridMultilevel"/>
    <w:tmpl w:val="3D0EB71C"/>
    <w:styleLink w:val="ImportedStyle2"/>
    <w:lvl w:ilvl="0" w:tplc="39389D2A">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F3C71B2">
      <w:start w:val="1"/>
      <w:numFmt w:val="bullet"/>
      <w:lvlText w:val="·"/>
      <w:lvlJc w:val="left"/>
      <w:pPr>
        <w:tabs>
          <w:tab w:val="left" w:pos="720"/>
        </w:tabs>
        <w:ind w:left="10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F143CA6">
      <w:start w:val="1"/>
      <w:numFmt w:val="bullet"/>
      <w:lvlText w:val="·"/>
      <w:lvlJc w:val="left"/>
      <w:pPr>
        <w:tabs>
          <w:tab w:val="left" w:pos="720"/>
        </w:tabs>
        <w:ind w:left="17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E862764">
      <w:start w:val="1"/>
      <w:numFmt w:val="bullet"/>
      <w:lvlText w:val="·"/>
      <w:lvlJc w:val="left"/>
      <w:pPr>
        <w:tabs>
          <w:tab w:val="left" w:pos="720"/>
        </w:tabs>
        <w:ind w:left="24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D22FE0A">
      <w:start w:val="1"/>
      <w:numFmt w:val="bullet"/>
      <w:lvlText w:val="·"/>
      <w:lvlJc w:val="left"/>
      <w:pPr>
        <w:tabs>
          <w:tab w:val="left" w:pos="720"/>
        </w:tabs>
        <w:ind w:left="31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D01494">
      <w:start w:val="1"/>
      <w:numFmt w:val="bullet"/>
      <w:lvlText w:val="·"/>
      <w:lvlJc w:val="left"/>
      <w:pPr>
        <w:tabs>
          <w:tab w:val="left" w:pos="720"/>
        </w:tabs>
        <w:ind w:left="39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01AC260">
      <w:start w:val="1"/>
      <w:numFmt w:val="bullet"/>
      <w:lvlText w:val="·"/>
      <w:lvlJc w:val="left"/>
      <w:pPr>
        <w:tabs>
          <w:tab w:val="left" w:pos="720"/>
        </w:tabs>
        <w:ind w:left="46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D84CCF8">
      <w:start w:val="1"/>
      <w:numFmt w:val="bullet"/>
      <w:lvlText w:val="·"/>
      <w:lvlJc w:val="left"/>
      <w:pPr>
        <w:tabs>
          <w:tab w:val="left" w:pos="720"/>
        </w:tabs>
        <w:ind w:left="53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025FF6">
      <w:start w:val="1"/>
      <w:numFmt w:val="bullet"/>
      <w:lvlText w:val="·"/>
      <w:lvlJc w:val="left"/>
      <w:pPr>
        <w:tabs>
          <w:tab w:val="left" w:pos="720"/>
        </w:tabs>
        <w:ind w:left="60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6ED538E6"/>
    <w:multiLevelType w:val="hybridMultilevel"/>
    <w:tmpl w:val="0B62ED50"/>
    <w:lvl w:ilvl="0" w:tplc="F12EFCA2">
      <w:start w:val="1"/>
      <w:numFmt w:val="bullet"/>
      <w:lvlText w:val=""/>
      <w:lvlJc w:val="left"/>
      <w:pPr>
        <w:ind w:left="360" w:hanging="24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0C20F3B"/>
    <w:multiLevelType w:val="hybridMultilevel"/>
    <w:tmpl w:val="E86AF150"/>
    <w:lvl w:ilvl="0" w:tplc="F12EFCA2">
      <w:start w:val="1"/>
      <w:numFmt w:val="bullet"/>
      <w:lvlText w:val=""/>
      <w:lvlJc w:val="left"/>
      <w:pPr>
        <w:ind w:left="360" w:hanging="24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13D0F69"/>
    <w:multiLevelType w:val="hybridMultilevel"/>
    <w:tmpl w:val="CE901408"/>
    <w:lvl w:ilvl="0" w:tplc="F12EFCA2">
      <w:start w:val="1"/>
      <w:numFmt w:val="bullet"/>
      <w:lvlText w:val=""/>
      <w:lvlJc w:val="left"/>
      <w:pPr>
        <w:ind w:left="360" w:hanging="24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324933"/>
    <w:multiLevelType w:val="hybridMultilevel"/>
    <w:tmpl w:val="CD026248"/>
    <w:lvl w:ilvl="0" w:tplc="F12EFCA2">
      <w:start w:val="1"/>
      <w:numFmt w:val="bullet"/>
      <w:lvlText w:val=""/>
      <w:lvlJc w:val="left"/>
      <w:pPr>
        <w:ind w:left="360" w:hanging="24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5A91A7F"/>
    <w:multiLevelType w:val="hybridMultilevel"/>
    <w:tmpl w:val="6B74C07C"/>
    <w:styleLink w:val="ImportedStyle4"/>
    <w:lvl w:ilvl="0" w:tplc="D20C9454">
      <w:start w:val="1"/>
      <w:numFmt w:val="bullet"/>
      <w:lvlText w:val="·"/>
      <w:lvlJc w:val="left"/>
      <w:pPr>
        <w:tabs>
          <w:tab w:val="left" w:pos="720"/>
        </w:tabs>
        <w:ind w:left="3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0F28582">
      <w:start w:val="1"/>
      <w:numFmt w:val="bullet"/>
      <w:lvlText w:val="·"/>
      <w:lvlJc w:val="left"/>
      <w:pPr>
        <w:tabs>
          <w:tab w:val="left" w:pos="720"/>
        </w:tabs>
        <w:ind w:left="10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E3A7498">
      <w:start w:val="1"/>
      <w:numFmt w:val="bullet"/>
      <w:lvlText w:val="·"/>
      <w:lvlJc w:val="left"/>
      <w:pPr>
        <w:tabs>
          <w:tab w:val="left" w:pos="720"/>
        </w:tabs>
        <w:ind w:left="17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658F6">
      <w:start w:val="1"/>
      <w:numFmt w:val="bullet"/>
      <w:lvlText w:val="·"/>
      <w:lvlJc w:val="left"/>
      <w:pPr>
        <w:tabs>
          <w:tab w:val="left" w:pos="720"/>
        </w:tabs>
        <w:ind w:left="24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8A47C12">
      <w:start w:val="1"/>
      <w:numFmt w:val="bullet"/>
      <w:lvlText w:val="·"/>
      <w:lvlJc w:val="left"/>
      <w:pPr>
        <w:tabs>
          <w:tab w:val="left" w:pos="720"/>
        </w:tabs>
        <w:ind w:left="31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AE81854">
      <w:start w:val="1"/>
      <w:numFmt w:val="bullet"/>
      <w:lvlText w:val="·"/>
      <w:lvlJc w:val="left"/>
      <w:pPr>
        <w:tabs>
          <w:tab w:val="left" w:pos="720"/>
        </w:tabs>
        <w:ind w:left="390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D4324C">
      <w:start w:val="1"/>
      <w:numFmt w:val="bullet"/>
      <w:lvlText w:val="·"/>
      <w:lvlJc w:val="left"/>
      <w:pPr>
        <w:tabs>
          <w:tab w:val="left" w:pos="720"/>
        </w:tabs>
        <w:ind w:left="46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D8E18FA">
      <w:start w:val="1"/>
      <w:numFmt w:val="bullet"/>
      <w:lvlText w:val="·"/>
      <w:lvlJc w:val="left"/>
      <w:pPr>
        <w:tabs>
          <w:tab w:val="left" w:pos="720"/>
        </w:tabs>
        <w:ind w:left="53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EDCD77C">
      <w:start w:val="1"/>
      <w:numFmt w:val="bullet"/>
      <w:lvlText w:val="·"/>
      <w:lvlJc w:val="left"/>
      <w:pPr>
        <w:tabs>
          <w:tab w:val="left" w:pos="720"/>
        </w:tabs>
        <w:ind w:left="606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204052539">
    <w:abstractNumId w:val="6"/>
  </w:num>
  <w:num w:numId="2" w16cid:durableId="137041773">
    <w:abstractNumId w:val="4"/>
  </w:num>
  <w:num w:numId="3" w16cid:durableId="697321002">
    <w:abstractNumId w:val="7"/>
  </w:num>
  <w:num w:numId="4" w16cid:durableId="1190029306">
    <w:abstractNumId w:val="5"/>
  </w:num>
  <w:num w:numId="5" w16cid:durableId="124934761">
    <w:abstractNumId w:val="3"/>
  </w:num>
  <w:num w:numId="6" w16cid:durableId="1158418083">
    <w:abstractNumId w:val="1"/>
  </w:num>
  <w:num w:numId="7" w16cid:durableId="569922235">
    <w:abstractNumId w:val="12"/>
  </w:num>
  <w:num w:numId="8" w16cid:durableId="1930507924">
    <w:abstractNumId w:val="0"/>
  </w:num>
  <w:num w:numId="9" w16cid:durableId="340787305">
    <w:abstractNumId w:val="11"/>
  </w:num>
  <w:num w:numId="10" w16cid:durableId="2066174783">
    <w:abstractNumId w:val="8"/>
  </w:num>
  <w:num w:numId="11" w16cid:durableId="1655992316">
    <w:abstractNumId w:val="9"/>
  </w:num>
  <w:num w:numId="12" w16cid:durableId="2132702218">
    <w:abstractNumId w:val="10"/>
  </w:num>
  <w:num w:numId="13" w16cid:durableId="739792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914"/>
    <w:rsid w:val="00141914"/>
    <w:rsid w:val="00235628"/>
    <w:rsid w:val="00244AD9"/>
    <w:rsid w:val="004C1D0F"/>
    <w:rsid w:val="00615388"/>
    <w:rsid w:val="0065759D"/>
    <w:rsid w:val="00A15DD3"/>
    <w:rsid w:val="00BB5A8B"/>
    <w:rsid w:val="00CF5017"/>
    <w:rsid w:val="00DB68A2"/>
    <w:rsid w:val="68E90732"/>
    <w:rsid w:val="6E1DF29C"/>
    <w:rsid w:val="7ED3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BBC3B0"/>
  <w15:docId w15:val="{8230F4D2-E048-4542-BB0A-B4E8C09F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numbering" w:styleId="ImportedStyle1" w:customStyle="1">
    <w:name w:val="Imported Style 1"/>
    <w:pPr>
      <w:numPr>
        <w:numId w:val="1"/>
      </w:numPr>
    </w:pPr>
  </w:style>
  <w:style w:type="numbering" w:styleId="ImportedStyle2" w:customStyle="1">
    <w:name w:val="Imported Style 2"/>
    <w:pPr>
      <w:numPr>
        <w:numId w:val="3"/>
      </w:numPr>
    </w:pPr>
  </w:style>
  <w:style w:type="numbering" w:styleId="ImportedStyle3" w:customStyle="1">
    <w:name w:val="Imported Style 3"/>
    <w:pPr>
      <w:numPr>
        <w:numId w:val="5"/>
      </w:numPr>
    </w:pPr>
  </w:style>
  <w:style w:type="numbering" w:styleId="ImportedStyle4" w:customStyle="1">
    <w:name w:val="Imported Style 4"/>
    <w:pPr>
      <w:numPr>
        <w:numId w:val="7"/>
      </w:numPr>
    </w:pPr>
  </w:style>
  <w:style w:type="table" w:styleId="TableGrid">
    <w:name w:val="Table Grid"/>
    <w:basedOn w:val="TableNormal"/>
    <w:uiPriority w:val="39"/>
    <w:rsid w:val="00244A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35628"/>
    <w:pPr>
      <w:tabs>
        <w:tab w:val="center" w:pos="4513"/>
        <w:tab w:val="right" w:pos="9026"/>
      </w:tabs>
    </w:pPr>
  </w:style>
  <w:style w:type="character" w:styleId="HeaderChar" w:customStyle="1">
    <w:name w:val="Header Char"/>
    <w:basedOn w:val="DefaultParagraphFont"/>
    <w:link w:val="Header"/>
    <w:uiPriority w:val="99"/>
    <w:rsid w:val="00235628"/>
    <w:rPr>
      <w:sz w:val="24"/>
      <w:szCs w:val="24"/>
      <w:lang w:val="en-US" w:eastAsia="en-US"/>
    </w:rPr>
  </w:style>
  <w:style w:type="paragraph" w:styleId="Footer">
    <w:name w:val="footer"/>
    <w:basedOn w:val="Normal"/>
    <w:link w:val="FooterChar"/>
    <w:uiPriority w:val="99"/>
    <w:unhideWhenUsed/>
    <w:rsid w:val="00235628"/>
    <w:pPr>
      <w:tabs>
        <w:tab w:val="center" w:pos="4513"/>
        <w:tab w:val="right" w:pos="9026"/>
      </w:tabs>
    </w:pPr>
  </w:style>
  <w:style w:type="character" w:styleId="FooterChar" w:customStyle="1">
    <w:name w:val="Footer Char"/>
    <w:basedOn w:val="DefaultParagraphFont"/>
    <w:link w:val="Footer"/>
    <w:uiPriority w:val="99"/>
    <w:rsid w:val="00235628"/>
    <w:rPr>
      <w:sz w:val="24"/>
      <w:szCs w:val="24"/>
      <w:lang w:val="en-US" w:eastAsia="en-US"/>
    </w:rPr>
  </w:style>
  <w:style w:type="character" w:styleId="PageNumber">
    <w:name w:val="page number"/>
    <w:basedOn w:val="DefaultParagraphFont"/>
    <w:uiPriority w:val="99"/>
    <w:semiHidden/>
    <w:unhideWhenUsed/>
    <w:rsid w:val="00A1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E2D8A-C89F-41B9-9D68-35026061FE35}">
  <ds:schemaRefs>
    <ds:schemaRef ds:uri="http://schemas.microsoft.com/sharepoint/v3/contenttype/forms"/>
  </ds:schemaRefs>
</ds:datastoreItem>
</file>

<file path=customXml/itemProps2.xml><?xml version="1.0" encoding="utf-8"?>
<ds:datastoreItem xmlns:ds="http://schemas.openxmlformats.org/officeDocument/2006/customXml" ds:itemID="{2C4CABE6-9833-4DD5-A0A3-0297E115E1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70B36D-CF4C-4056-94C3-ACEC05D48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02b76-0abe-4422-ade7-fc0075b19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8</revision>
  <dcterms:created xsi:type="dcterms:W3CDTF">2025-07-24T13:29:00.0000000Z</dcterms:created>
  <dcterms:modified xsi:type="dcterms:W3CDTF">2025-07-24T14:17:03.1780230Z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